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p14">
  <w:body>
    <w:p w:rsidRPr="00B163B9" w:rsidR="00F8766C" w:rsidP="4DB08123" w:rsidRDefault="00F8766C" w14:paraId="173236B3" w14:textId="31485A04">
      <w:pPr>
        <w:pStyle w:val="Normal"/>
      </w:pPr>
    </w:p>
    <w:p w:rsidRPr="00B163B9" w:rsidR="00F8766C" w:rsidP="4DB08123" w:rsidRDefault="00F8766C" w14:paraId="7B1B671E" w14:textId="5A4C05BE">
      <w:pPr>
        <w:pStyle w:val="Normal"/>
      </w:pPr>
    </w:p>
    <w:p w:rsidRPr="00B163B9" w:rsidR="00F8766C" w:rsidP="4DB08123" w:rsidRDefault="00F8766C" w14:paraId="1CFE85EF" w14:textId="00152499">
      <w:pPr>
        <w:pStyle w:val="Normal"/>
      </w:pPr>
      <w:r w:rsidR="3BE1FDA0">
        <w:drawing>
          <wp:inline wp14:editId="3AF80E28" wp14:anchorId="1C6E7B6D">
            <wp:extent cx="6410325" cy="2628900"/>
            <wp:effectExtent l="0" t="0" r="0" b="0"/>
            <wp:docPr id="126124688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61246881" name="Picture 1261246881"/>
                    <pic:cNvPicPr/>
                  </pic:nvPicPr>
                  <pic:blipFill>
                    <a:blip xmlns:r="http://schemas.openxmlformats.org/officeDocument/2006/relationships" r:embed="rId12365565">
                      <a:extLst>
                        <a:ext uri="{28A0092B-C50C-407E-A947-70E740481C1C}">
                          <a14:useLocalDpi xmlns:a14="http://schemas.microsoft.com/office/drawing/2010/main"/>
                        </a:ext>
                      </a:extLst>
                    </a:blip>
                    <a:stretch>
                      <a:fillRect/>
                    </a:stretch>
                  </pic:blipFill>
                  <pic:spPr>
                    <a:xfrm>
                      <a:off x="0" y="0"/>
                      <a:ext cx="6410325" cy="2628900"/>
                    </a:xfrm>
                    <a:prstGeom prst="rect">
                      <a:avLst/>
                    </a:prstGeom>
                  </pic:spPr>
                </pic:pic>
              </a:graphicData>
            </a:graphic>
          </wp:inline>
        </w:drawing>
      </w:r>
    </w:p>
    <w:p w:rsidRPr="00B163B9" w:rsidR="00F8766C" w:rsidP="00F8766C" w:rsidRDefault="00F8766C" w14:paraId="6219172C" w14:textId="4D0C9186">
      <w:pPr>
        <w:rPr>
          <w:rFonts w:ascii="Verdana" w:hAnsi="Verdana"/>
          <w:sz w:val="22"/>
          <w:szCs w:val="22"/>
        </w:rPr>
      </w:pPr>
    </w:p>
    <w:p w:rsidR="4DB08123" w:rsidP="4DB08123" w:rsidRDefault="4DB08123" w14:paraId="45BC6F03" w14:textId="7C0CACBD">
      <w:pPr>
        <w:rPr>
          <w:rFonts w:ascii="Verdana" w:hAnsi="Verdana"/>
          <w:sz w:val="22"/>
          <w:szCs w:val="22"/>
        </w:rPr>
      </w:pPr>
    </w:p>
    <w:p w:rsidR="4DB08123" w:rsidP="4DB08123" w:rsidRDefault="4DB08123" w14:paraId="29D68597" w14:textId="082C9955">
      <w:pPr>
        <w:rPr>
          <w:rFonts w:ascii="Verdana" w:hAnsi="Verdana"/>
          <w:sz w:val="22"/>
          <w:szCs w:val="22"/>
        </w:rPr>
      </w:pPr>
    </w:p>
    <w:p w:rsidR="4DB08123" w:rsidP="4DB08123" w:rsidRDefault="4DB08123" w14:paraId="3B2FF951" w14:textId="09B26391">
      <w:pPr>
        <w:rPr>
          <w:rFonts w:ascii="Verdana" w:hAnsi="Verdana"/>
          <w:sz w:val="22"/>
          <w:szCs w:val="22"/>
        </w:rPr>
      </w:pPr>
    </w:p>
    <w:p w:rsidR="4DB08123" w:rsidP="4DB08123" w:rsidRDefault="4DB08123" w14:paraId="2840D2AC" w14:textId="22EEAB03">
      <w:pPr>
        <w:rPr>
          <w:rFonts w:ascii="Verdana" w:hAnsi="Verdana"/>
          <w:sz w:val="22"/>
          <w:szCs w:val="22"/>
        </w:rPr>
      </w:pPr>
    </w:p>
    <w:p w:rsidR="3BE1FDA0" w:rsidP="4DB08123" w:rsidRDefault="3BE1FDA0" w14:paraId="68D53EAF" w14:textId="084311A3">
      <w:pPr>
        <w:pStyle w:val="Normal"/>
        <w:jc w:val="right"/>
      </w:pPr>
      <w:r w:rsidR="3BE1FDA0">
        <w:drawing>
          <wp:inline wp14:editId="789757E4" wp14:anchorId="48269D6E">
            <wp:extent cx="4029075" cy="1304925"/>
            <wp:effectExtent l="0" t="0" r="0" b="0"/>
            <wp:docPr id="90751791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07517916" name="Picture 907517916"/>
                    <pic:cNvPicPr/>
                  </pic:nvPicPr>
                  <pic:blipFill>
                    <a:blip xmlns:r="http://schemas.openxmlformats.org/officeDocument/2006/relationships" r:embed="rId487612553">
                      <a:extLst>
                        <a:ext uri="{28A0092B-C50C-407E-A947-70E740481C1C}">
                          <a14:useLocalDpi xmlns:a14="http://schemas.microsoft.com/office/drawing/2010/main"/>
                        </a:ext>
                      </a:extLst>
                    </a:blip>
                    <a:stretch>
                      <a:fillRect/>
                    </a:stretch>
                  </pic:blipFill>
                  <pic:spPr>
                    <a:xfrm>
                      <a:off x="0" y="0"/>
                      <a:ext cx="4029075" cy="1304925"/>
                    </a:xfrm>
                    <a:prstGeom prst="rect">
                      <a:avLst/>
                    </a:prstGeom>
                  </pic:spPr>
                </pic:pic>
              </a:graphicData>
            </a:graphic>
          </wp:inline>
        </w:drawing>
      </w:r>
    </w:p>
    <w:p w:rsidR="4DB08123" w:rsidP="4DB08123" w:rsidRDefault="4DB08123" w14:paraId="11CA2979" w14:textId="1D295301">
      <w:pPr>
        <w:rPr>
          <w:rFonts w:ascii="Verdana" w:hAnsi="Verdana"/>
          <w:sz w:val="22"/>
          <w:szCs w:val="22"/>
        </w:rPr>
      </w:pPr>
    </w:p>
    <w:p w:rsidR="4DB08123" w:rsidP="4DB08123" w:rsidRDefault="4DB08123" w14:paraId="2D06E397" w14:textId="0BB0148A">
      <w:pPr>
        <w:pStyle w:val="Normal"/>
        <w:rPr>
          <w:rFonts w:ascii="Verdana" w:hAnsi="Verdana"/>
          <w:sz w:val="22"/>
          <w:szCs w:val="22"/>
        </w:rPr>
      </w:pPr>
    </w:p>
    <w:p w:rsidR="4DB08123" w:rsidP="4DB08123" w:rsidRDefault="4DB08123" w14:paraId="3F07204F" w14:textId="032D543B">
      <w:pPr>
        <w:rPr>
          <w:rFonts w:ascii="Verdana" w:hAnsi="Verdana"/>
          <w:sz w:val="22"/>
          <w:szCs w:val="22"/>
        </w:rPr>
      </w:pPr>
    </w:p>
    <w:p w:rsidRPr="00B163B9" w:rsidR="00F8766C" w:rsidP="00F8766C" w:rsidRDefault="00F8766C" w14:paraId="7637900D" w14:textId="77777777">
      <w:pPr>
        <w:rPr>
          <w:rFonts w:ascii="Verdana" w:hAnsi="Verdana"/>
          <w:b/>
          <w:bCs/>
          <w:sz w:val="22"/>
          <w:szCs w:val="22"/>
        </w:rPr>
      </w:pPr>
    </w:p>
    <w:p w:rsidRPr="00B163B9" w:rsidR="0052768E" w:rsidP="00F8766C" w:rsidRDefault="0052768E" w14:paraId="68323FAE" w14:textId="77777777">
      <w:pPr>
        <w:jc w:val="center"/>
        <w:rPr>
          <w:rFonts w:ascii="Verdana" w:hAnsi="Verdana"/>
          <w:b/>
          <w:bCs/>
          <w:sz w:val="22"/>
          <w:szCs w:val="22"/>
        </w:rPr>
      </w:pPr>
    </w:p>
    <w:sdt>
      <w:sdtPr>
        <w:rPr>
          <w:lang w:val="es-ES"/>
        </w:rPr>
        <w:id w:val="-2037570495"/>
        <w:docPartObj>
          <w:docPartGallery w:val="Table of Contents"/>
          <w:docPartUnique/>
        </w:docPartObj>
      </w:sdtPr>
      <w:sdtEndPr>
        <w:rPr>
          <w:rFonts w:ascii="Calibri" w:hAnsi="Calibri" w:eastAsia="" w:cs="" w:asciiTheme="minorAscii" w:hAnsiTheme="minorAscii" w:eastAsiaTheme="minorEastAsia" w:cstheme="minorBidi"/>
          <w:b w:val="1"/>
          <w:bCs w:val="1"/>
          <w:color w:val="auto"/>
          <w:sz w:val="20"/>
          <w:szCs w:val="20"/>
          <w:lang w:val="es-ES"/>
        </w:rPr>
      </w:sdtEndPr>
      <w:sdtContent>
        <w:p w:rsidRPr="0052768E" w:rsidR="0052768E" w:rsidRDefault="0052768E" w14:paraId="132E38A3" w14:textId="44FBF3E3">
          <w:pPr>
            <w:pStyle w:val="TtuloTDC"/>
            <w:rPr>
              <w:rFonts w:ascii="Verdana" w:hAnsi="Verdana"/>
              <w:sz w:val="18"/>
              <w:szCs w:val="18"/>
            </w:rPr>
          </w:pPr>
          <w:r w:rsidRPr="0052768E">
            <w:rPr>
              <w:rFonts w:ascii="Verdana" w:hAnsi="Verdana"/>
              <w:sz w:val="18"/>
              <w:szCs w:val="18"/>
              <w:lang w:val="es-ES"/>
            </w:rPr>
            <w:t>TABLA DE CONTENIDO</w:t>
          </w:r>
        </w:p>
        <w:p w:rsidRPr="0052768E" w:rsidR="0052768E" w:rsidRDefault="0052768E" w14:paraId="1F4584B6" w14:textId="401C4B3C">
          <w:pPr>
            <w:pStyle w:val="TDC1"/>
            <w:tabs>
              <w:tab w:val="left" w:pos="400"/>
              <w:tab w:val="right" w:leader="dot" w:pos="8828"/>
            </w:tabs>
            <w:rPr>
              <w:rFonts w:ascii="Verdana" w:hAnsi="Verdana"/>
              <w:b w:val="0"/>
              <w:bCs w:val="0"/>
              <w:caps w:val="0"/>
              <w:noProof/>
              <w:sz w:val="18"/>
              <w:szCs w:val="18"/>
              <w:lang w:eastAsia="es-CO"/>
            </w:rPr>
          </w:pPr>
          <w:r w:rsidRPr="0052768E">
            <w:rPr>
              <w:rFonts w:ascii="Verdana" w:hAnsi="Verdana"/>
              <w:b w:val="0"/>
              <w:bCs w:val="0"/>
              <w:caps w:val="0"/>
              <w:sz w:val="18"/>
              <w:szCs w:val="18"/>
            </w:rPr>
            <w:fldChar w:fldCharType="begin"/>
          </w:r>
          <w:r w:rsidRPr="0052768E">
            <w:rPr>
              <w:rFonts w:ascii="Verdana" w:hAnsi="Verdana"/>
              <w:b w:val="0"/>
              <w:bCs w:val="0"/>
              <w:caps w:val="0"/>
              <w:sz w:val="18"/>
              <w:szCs w:val="18"/>
            </w:rPr>
            <w:instrText xml:space="preserve"> TOC \o "1-3" \h \z \u </w:instrText>
          </w:r>
          <w:r w:rsidRPr="0052768E">
            <w:rPr>
              <w:rFonts w:ascii="Verdana" w:hAnsi="Verdana"/>
              <w:b w:val="0"/>
              <w:bCs w:val="0"/>
              <w:caps w:val="0"/>
              <w:sz w:val="18"/>
              <w:szCs w:val="18"/>
            </w:rPr>
            <w:fldChar w:fldCharType="separate"/>
          </w:r>
          <w:hyperlink w:history="1" w:anchor="_Toc234618985">
            <w:r w:rsidRPr="0052768E">
              <w:rPr>
                <w:rStyle w:val="Hipervnculo"/>
                <w:rFonts w:ascii="Verdana" w:hAnsi="Verdana"/>
                <w:noProof/>
                <w:sz w:val="18"/>
                <w:szCs w:val="18"/>
              </w:rPr>
              <w:t>1.</w:t>
            </w:r>
            <w:r w:rsidRPr="0052768E">
              <w:rPr>
                <w:rFonts w:ascii="Verdana" w:hAnsi="Verdana"/>
                <w:b w:val="0"/>
                <w:bCs w:val="0"/>
                <w:caps w:val="0"/>
                <w:noProof/>
                <w:sz w:val="18"/>
                <w:szCs w:val="18"/>
                <w:lang w:eastAsia="es-CO"/>
              </w:rPr>
              <w:tab/>
            </w:r>
            <w:r w:rsidRPr="0052768E">
              <w:rPr>
                <w:rStyle w:val="Hipervnculo"/>
                <w:rFonts w:ascii="Verdana" w:hAnsi="Verdana"/>
                <w:noProof/>
                <w:sz w:val="18"/>
                <w:szCs w:val="18"/>
              </w:rPr>
              <w:t>ANTECEDENTES Y MARCO NORMATIVO</w:t>
            </w:r>
            <w:r w:rsidRPr="0052768E">
              <w:rPr>
                <w:rFonts w:ascii="Verdana" w:hAnsi="Verdana"/>
                <w:noProof/>
                <w:webHidden/>
                <w:sz w:val="18"/>
                <w:szCs w:val="18"/>
              </w:rPr>
              <w:tab/>
            </w:r>
            <w:r w:rsidRPr="0052768E">
              <w:rPr>
                <w:rFonts w:ascii="Verdana" w:hAnsi="Verdana"/>
                <w:noProof/>
                <w:webHidden/>
                <w:sz w:val="18"/>
                <w:szCs w:val="18"/>
              </w:rPr>
              <w:fldChar w:fldCharType="begin"/>
            </w:r>
            <w:r w:rsidRPr="0052768E">
              <w:rPr>
                <w:rFonts w:ascii="Verdana" w:hAnsi="Verdana"/>
                <w:noProof/>
                <w:webHidden/>
                <w:sz w:val="18"/>
                <w:szCs w:val="18"/>
              </w:rPr>
              <w:instrText xml:space="preserve"> PAGEREF _Toc234618985 \h </w:instrText>
            </w:r>
            <w:r w:rsidRPr="0052768E">
              <w:rPr>
                <w:rFonts w:ascii="Verdana" w:hAnsi="Verdana"/>
                <w:noProof/>
                <w:webHidden/>
                <w:sz w:val="18"/>
                <w:szCs w:val="18"/>
              </w:rPr>
            </w:r>
            <w:r w:rsidRPr="0052768E">
              <w:rPr>
                <w:rFonts w:ascii="Verdana" w:hAnsi="Verdana"/>
                <w:noProof/>
                <w:webHidden/>
                <w:sz w:val="18"/>
                <w:szCs w:val="18"/>
              </w:rPr>
              <w:fldChar w:fldCharType="separate"/>
            </w:r>
            <w:r w:rsidRPr="0052768E">
              <w:rPr>
                <w:rFonts w:ascii="Verdana" w:hAnsi="Verdana"/>
                <w:noProof/>
                <w:webHidden/>
                <w:sz w:val="18"/>
                <w:szCs w:val="18"/>
              </w:rPr>
              <w:t>3</w:t>
            </w:r>
            <w:r w:rsidRPr="0052768E">
              <w:rPr>
                <w:rFonts w:ascii="Verdana" w:hAnsi="Verdana"/>
                <w:noProof/>
                <w:webHidden/>
                <w:sz w:val="18"/>
                <w:szCs w:val="18"/>
              </w:rPr>
              <w:fldChar w:fldCharType="end"/>
            </w:r>
          </w:hyperlink>
        </w:p>
        <w:p w:rsidRPr="0052768E" w:rsidR="0052768E" w:rsidRDefault="0052768E" w14:paraId="49010AE4" w14:textId="6E15CB76">
          <w:pPr>
            <w:pStyle w:val="TDC2"/>
            <w:tabs>
              <w:tab w:val="left" w:pos="800"/>
              <w:tab w:val="right" w:leader="dot" w:pos="8828"/>
            </w:tabs>
            <w:rPr>
              <w:rFonts w:ascii="Verdana" w:hAnsi="Verdana"/>
              <w:smallCaps w:val="0"/>
              <w:noProof/>
              <w:sz w:val="18"/>
              <w:szCs w:val="18"/>
              <w:lang w:eastAsia="es-CO"/>
            </w:rPr>
          </w:pPr>
          <w:hyperlink w:history="1" w:anchor="_Toc234618986">
            <w:r w:rsidRPr="0052768E">
              <w:rPr>
                <w:rStyle w:val="Hipervnculo"/>
                <w:rFonts w:ascii="Verdana" w:hAnsi="Verdana"/>
                <w:noProof/>
                <w:sz w:val="18"/>
                <w:szCs w:val="18"/>
              </w:rPr>
              <w:t>1.1.</w:t>
            </w:r>
            <w:r w:rsidRPr="0052768E">
              <w:rPr>
                <w:rFonts w:ascii="Verdana" w:hAnsi="Verdana"/>
                <w:smallCaps w:val="0"/>
                <w:noProof/>
                <w:sz w:val="18"/>
                <w:szCs w:val="18"/>
                <w:lang w:eastAsia="es-CO"/>
              </w:rPr>
              <w:tab/>
            </w:r>
            <w:r w:rsidRPr="0052768E">
              <w:rPr>
                <w:rStyle w:val="Hipervnculo"/>
                <w:rFonts w:ascii="Verdana" w:hAnsi="Verdana"/>
                <w:noProof/>
                <w:sz w:val="18"/>
                <w:szCs w:val="18"/>
              </w:rPr>
              <w:t>Fundamentos Jurídicos</w:t>
            </w:r>
            <w:r w:rsidRPr="0052768E">
              <w:rPr>
                <w:rFonts w:ascii="Verdana" w:hAnsi="Verdana"/>
                <w:noProof/>
                <w:webHidden/>
                <w:sz w:val="18"/>
                <w:szCs w:val="18"/>
              </w:rPr>
              <w:tab/>
            </w:r>
            <w:r w:rsidRPr="0052768E">
              <w:rPr>
                <w:rFonts w:ascii="Verdana" w:hAnsi="Verdana"/>
                <w:noProof/>
                <w:webHidden/>
                <w:sz w:val="18"/>
                <w:szCs w:val="18"/>
              </w:rPr>
              <w:fldChar w:fldCharType="begin"/>
            </w:r>
            <w:r w:rsidRPr="0052768E">
              <w:rPr>
                <w:rFonts w:ascii="Verdana" w:hAnsi="Verdana"/>
                <w:noProof/>
                <w:webHidden/>
                <w:sz w:val="18"/>
                <w:szCs w:val="18"/>
              </w:rPr>
              <w:instrText xml:space="preserve"> PAGEREF _Toc234618986 \h </w:instrText>
            </w:r>
            <w:r w:rsidRPr="0052768E">
              <w:rPr>
                <w:rFonts w:ascii="Verdana" w:hAnsi="Verdana"/>
                <w:noProof/>
                <w:webHidden/>
                <w:sz w:val="18"/>
                <w:szCs w:val="18"/>
              </w:rPr>
            </w:r>
            <w:r w:rsidRPr="0052768E">
              <w:rPr>
                <w:rFonts w:ascii="Verdana" w:hAnsi="Verdana"/>
                <w:noProof/>
                <w:webHidden/>
                <w:sz w:val="18"/>
                <w:szCs w:val="18"/>
              </w:rPr>
              <w:fldChar w:fldCharType="separate"/>
            </w:r>
            <w:r w:rsidRPr="0052768E">
              <w:rPr>
                <w:rFonts w:ascii="Verdana" w:hAnsi="Verdana"/>
                <w:noProof/>
                <w:webHidden/>
                <w:sz w:val="18"/>
                <w:szCs w:val="18"/>
              </w:rPr>
              <w:t>3</w:t>
            </w:r>
            <w:r w:rsidRPr="0052768E">
              <w:rPr>
                <w:rFonts w:ascii="Verdana" w:hAnsi="Verdana"/>
                <w:noProof/>
                <w:webHidden/>
                <w:sz w:val="18"/>
                <w:szCs w:val="18"/>
              </w:rPr>
              <w:fldChar w:fldCharType="end"/>
            </w:r>
          </w:hyperlink>
        </w:p>
        <w:p w:rsidRPr="0052768E" w:rsidR="0052768E" w:rsidRDefault="0052768E" w14:paraId="480B9F53" w14:textId="4C130276">
          <w:pPr>
            <w:pStyle w:val="TDC2"/>
            <w:tabs>
              <w:tab w:val="left" w:pos="800"/>
              <w:tab w:val="right" w:leader="dot" w:pos="8828"/>
            </w:tabs>
            <w:rPr>
              <w:rFonts w:ascii="Verdana" w:hAnsi="Verdana"/>
              <w:smallCaps w:val="0"/>
              <w:noProof/>
              <w:sz w:val="18"/>
              <w:szCs w:val="18"/>
              <w:lang w:eastAsia="es-CO"/>
            </w:rPr>
          </w:pPr>
          <w:hyperlink w:history="1" w:anchor="_Toc234618987">
            <w:r w:rsidRPr="0052768E">
              <w:rPr>
                <w:rStyle w:val="Hipervnculo"/>
                <w:rFonts w:ascii="Verdana" w:hAnsi="Verdana"/>
                <w:noProof/>
                <w:sz w:val="18"/>
                <w:szCs w:val="18"/>
              </w:rPr>
              <w:t>1.2.</w:t>
            </w:r>
            <w:r w:rsidRPr="0052768E">
              <w:rPr>
                <w:rFonts w:ascii="Verdana" w:hAnsi="Verdana"/>
                <w:smallCaps w:val="0"/>
                <w:noProof/>
                <w:sz w:val="18"/>
                <w:szCs w:val="18"/>
                <w:lang w:eastAsia="es-CO"/>
              </w:rPr>
              <w:tab/>
            </w:r>
            <w:r w:rsidRPr="0052768E">
              <w:rPr>
                <w:rStyle w:val="Hipervnculo"/>
                <w:rFonts w:ascii="Verdana" w:hAnsi="Verdana"/>
                <w:noProof/>
                <w:sz w:val="18"/>
                <w:szCs w:val="18"/>
              </w:rPr>
              <w:t>Alcance y Articulación con la Gobernanza del Páramo</w:t>
            </w:r>
            <w:r w:rsidRPr="0052768E">
              <w:rPr>
                <w:rFonts w:ascii="Verdana" w:hAnsi="Verdana"/>
                <w:noProof/>
                <w:webHidden/>
                <w:sz w:val="18"/>
                <w:szCs w:val="18"/>
              </w:rPr>
              <w:tab/>
            </w:r>
            <w:r w:rsidRPr="0052768E">
              <w:rPr>
                <w:rFonts w:ascii="Verdana" w:hAnsi="Verdana"/>
                <w:noProof/>
                <w:webHidden/>
                <w:sz w:val="18"/>
                <w:szCs w:val="18"/>
              </w:rPr>
              <w:fldChar w:fldCharType="begin"/>
            </w:r>
            <w:r w:rsidRPr="0052768E">
              <w:rPr>
                <w:rFonts w:ascii="Verdana" w:hAnsi="Verdana"/>
                <w:noProof/>
                <w:webHidden/>
                <w:sz w:val="18"/>
                <w:szCs w:val="18"/>
              </w:rPr>
              <w:instrText xml:space="preserve"> PAGEREF _Toc234618987 \h </w:instrText>
            </w:r>
            <w:r w:rsidRPr="0052768E">
              <w:rPr>
                <w:rFonts w:ascii="Verdana" w:hAnsi="Verdana"/>
                <w:noProof/>
                <w:webHidden/>
                <w:sz w:val="18"/>
                <w:szCs w:val="18"/>
              </w:rPr>
            </w:r>
            <w:r w:rsidRPr="0052768E">
              <w:rPr>
                <w:rFonts w:ascii="Verdana" w:hAnsi="Verdana"/>
                <w:noProof/>
                <w:webHidden/>
                <w:sz w:val="18"/>
                <w:szCs w:val="18"/>
              </w:rPr>
              <w:fldChar w:fldCharType="separate"/>
            </w:r>
            <w:r w:rsidRPr="0052768E">
              <w:rPr>
                <w:rFonts w:ascii="Verdana" w:hAnsi="Verdana"/>
                <w:noProof/>
                <w:webHidden/>
                <w:sz w:val="18"/>
                <w:szCs w:val="18"/>
              </w:rPr>
              <w:t>5</w:t>
            </w:r>
            <w:r w:rsidRPr="0052768E">
              <w:rPr>
                <w:rFonts w:ascii="Verdana" w:hAnsi="Verdana"/>
                <w:noProof/>
                <w:webHidden/>
                <w:sz w:val="18"/>
                <w:szCs w:val="18"/>
              </w:rPr>
              <w:fldChar w:fldCharType="end"/>
            </w:r>
          </w:hyperlink>
        </w:p>
        <w:p w:rsidRPr="0052768E" w:rsidR="0052768E" w:rsidRDefault="0052768E" w14:paraId="00EC0C79" w14:textId="1D710962">
          <w:pPr>
            <w:pStyle w:val="TDC1"/>
            <w:tabs>
              <w:tab w:val="left" w:pos="400"/>
              <w:tab w:val="right" w:leader="dot" w:pos="8828"/>
            </w:tabs>
            <w:rPr>
              <w:rFonts w:ascii="Verdana" w:hAnsi="Verdana"/>
              <w:b w:val="0"/>
              <w:bCs w:val="0"/>
              <w:caps w:val="0"/>
              <w:noProof/>
              <w:sz w:val="18"/>
              <w:szCs w:val="18"/>
              <w:lang w:eastAsia="es-CO"/>
            </w:rPr>
          </w:pPr>
          <w:hyperlink w:history="1" w:anchor="_Toc234618988">
            <w:r w:rsidRPr="0052768E">
              <w:rPr>
                <w:rStyle w:val="Hipervnculo"/>
                <w:rFonts w:ascii="Verdana" w:hAnsi="Verdana"/>
                <w:noProof/>
                <w:sz w:val="18"/>
                <w:szCs w:val="18"/>
              </w:rPr>
              <w:t>2.</w:t>
            </w:r>
            <w:r w:rsidRPr="0052768E">
              <w:rPr>
                <w:rFonts w:ascii="Verdana" w:hAnsi="Verdana"/>
                <w:b w:val="0"/>
                <w:bCs w:val="0"/>
                <w:caps w:val="0"/>
                <w:noProof/>
                <w:sz w:val="18"/>
                <w:szCs w:val="18"/>
                <w:lang w:eastAsia="es-CO"/>
              </w:rPr>
              <w:tab/>
            </w:r>
            <w:r w:rsidRPr="0052768E">
              <w:rPr>
                <w:rStyle w:val="Hipervnculo"/>
                <w:rFonts w:ascii="Verdana" w:hAnsi="Verdana"/>
                <w:noProof/>
                <w:sz w:val="18"/>
                <w:szCs w:val="18"/>
              </w:rPr>
              <w:t>DIAGNÓSTICO</w:t>
            </w:r>
            <w:r w:rsidRPr="0052768E">
              <w:rPr>
                <w:rFonts w:ascii="Verdana" w:hAnsi="Verdana"/>
                <w:noProof/>
                <w:webHidden/>
                <w:sz w:val="18"/>
                <w:szCs w:val="18"/>
              </w:rPr>
              <w:tab/>
            </w:r>
            <w:r w:rsidRPr="0052768E">
              <w:rPr>
                <w:rFonts w:ascii="Verdana" w:hAnsi="Verdana"/>
                <w:noProof/>
                <w:webHidden/>
                <w:sz w:val="18"/>
                <w:szCs w:val="18"/>
              </w:rPr>
              <w:fldChar w:fldCharType="begin"/>
            </w:r>
            <w:r w:rsidRPr="0052768E">
              <w:rPr>
                <w:rFonts w:ascii="Verdana" w:hAnsi="Verdana"/>
                <w:noProof/>
                <w:webHidden/>
                <w:sz w:val="18"/>
                <w:szCs w:val="18"/>
              </w:rPr>
              <w:instrText xml:space="preserve"> PAGEREF _Toc234618988 \h </w:instrText>
            </w:r>
            <w:r w:rsidRPr="0052768E">
              <w:rPr>
                <w:rFonts w:ascii="Verdana" w:hAnsi="Verdana"/>
                <w:noProof/>
                <w:webHidden/>
                <w:sz w:val="18"/>
                <w:szCs w:val="18"/>
              </w:rPr>
            </w:r>
            <w:r w:rsidRPr="0052768E">
              <w:rPr>
                <w:rFonts w:ascii="Verdana" w:hAnsi="Verdana"/>
                <w:noProof/>
                <w:webHidden/>
                <w:sz w:val="18"/>
                <w:szCs w:val="18"/>
              </w:rPr>
              <w:fldChar w:fldCharType="separate"/>
            </w:r>
            <w:r w:rsidRPr="0052768E">
              <w:rPr>
                <w:rFonts w:ascii="Verdana" w:hAnsi="Verdana"/>
                <w:noProof/>
                <w:webHidden/>
                <w:sz w:val="18"/>
                <w:szCs w:val="18"/>
              </w:rPr>
              <w:t>6</w:t>
            </w:r>
            <w:r w:rsidRPr="0052768E">
              <w:rPr>
                <w:rFonts w:ascii="Verdana" w:hAnsi="Verdana"/>
                <w:noProof/>
                <w:webHidden/>
                <w:sz w:val="18"/>
                <w:szCs w:val="18"/>
              </w:rPr>
              <w:fldChar w:fldCharType="end"/>
            </w:r>
          </w:hyperlink>
        </w:p>
        <w:p w:rsidRPr="0052768E" w:rsidR="0052768E" w:rsidRDefault="0052768E" w14:paraId="7AA71ED9" w14:textId="177853B2">
          <w:pPr>
            <w:pStyle w:val="TDC2"/>
            <w:tabs>
              <w:tab w:val="left" w:pos="800"/>
              <w:tab w:val="right" w:leader="dot" w:pos="8828"/>
            </w:tabs>
            <w:rPr>
              <w:rFonts w:ascii="Verdana" w:hAnsi="Verdana"/>
              <w:smallCaps w:val="0"/>
              <w:noProof/>
              <w:sz w:val="18"/>
              <w:szCs w:val="18"/>
              <w:lang w:eastAsia="es-CO"/>
            </w:rPr>
          </w:pPr>
          <w:hyperlink w:history="1" w:anchor="_Toc234618989">
            <w:r w:rsidRPr="0052768E">
              <w:rPr>
                <w:rStyle w:val="Hipervnculo"/>
                <w:rFonts w:ascii="Verdana" w:hAnsi="Verdana"/>
                <w:noProof/>
                <w:sz w:val="18"/>
                <w:szCs w:val="18"/>
              </w:rPr>
              <w:t>2.1.</w:t>
            </w:r>
            <w:r w:rsidRPr="0052768E">
              <w:rPr>
                <w:rFonts w:ascii="Verdana" w:hAnsi="Verdana"/>
                <w:smallCaps w:val="0"/>
                <w:noProof/>
                <w:sz w:val="18"/>
                <w:szCs w:val="18"/>
                <w:lang w:eastAsia="es-CO"/>
              </w:rPr>
              <w:tab/>
            </w:r>
            <w:r w:rsidRPr="0052768E">
              <w:rPr>
                <w:rStyle w:val="Hipervnculo"/>
                <w:rFonts w:ascii="Verdana" w:hAnsi="Verdana"/>
                <w:noProof/>
                <w:sz w:val="18"/>
                <w:szCs w:val="18"/>
              </w:rPr>
              <w:t>Actores y fuentes de financiación.</w:t>
            </w:r>
            <w:r w:rsidRPr="0052768E">
              <w:rPr>
                <w:rFonts w:ascii="Verdana" w:hAnsi="Verdana"/>
                <w:noProof/>
                <w:webHidden/>
                <w:sz w:val="18"/>
                <w:szCs w:val="18"/>
              </w:rPr>
              <w:tab/>
            </w:r>
            <w:r w:rsidRPr="0052768E">
              <w:rPr>
                <w:rFonts w:ascii="Verdana" w:hAnsi="Verdana"/>
                <w:noProof/>
                <w:webHidden/>
                <w:sz w:val="18"/>
                <w:szCs w:val="18"/>
              </w:rPr>
              <w:fldChar w:fldCharType="begin"/>
            </w:r>
            <w:r w:rsidRPr="0052768E">
              <w:rPr>
                <w:rFonts w:ascii="Verdana" w:hAnsi="Verdana"/>
                <w:noProof/>
                <w:webHidden/>
                <w:sz w:val="18"/>
                <w:szCs w:val="18"/>
              </w:rPr>
              <w:instrText xml:space="preserve"> PAGEREF _Toc234618989 \h </w:instrText>
            </w:r>
            <w:r w:rsidRPr="0052768E">
              <w:rPr>
                <w:rFonts w:ascii="Verdana" w:hAnsi="Verdana"/>
                <w:noProof/>
                <w:webHidden/>
                <w:sz w:val="18"/>
                <w:szCs w:val="18"/>
              </w:rPr>
            </w:r>
            <w:r w:rsidRPr="0052768E">
              <w:rPr>
                <w:rFonts w:ascii="Verdana" w:hAnsi="Verdana"/>
                <w:noProof/>
                <w:webHidden/>
                <w:sz w:val="18"/>
                <w:szCs w:val="18"/>
              </w:rPr>
              <w:fldChar w:fldCharType="separate"/>
            </w:r>
            <w:r w:rsidRPr="0052768E">
              <w:rPr>
                <w:rFonts w:ascii="Verdana" w:hAnsi="Verdana"/>
                <w:noProof/>
                <w:webHidden/>
                <w:sz w:val="18"/>
                <w:szCs w:val="18"/>
              </w:rPr>
              <w:t>6</w:t>
            </w:r>
            <w:r w:rsidRPr="0052768E">
              <w:rPr>
                <w:rFonts w:ascii="Verdana" w:hAnsi="Verdana"/>
                <w:noProof/>
                <w:webHidden/>
                <w:sz w:val="18"/>
                <w:szCs w:val="18"/>
              </w:rPr>
              <w:fldChar w:fldCharType="end"/>
            </w:r>
          </w:hyperlink>
        </w:p>
        <w:p w:rsidRPr="0052768E" w:rsidR="0052768E" w:rsidRDefault="0052768E" w14:paraId="78576111" w14:textId="128D24C3">
          <w:pPr>
            <w:pStyle w:val="TDC2"/>
            <w:tabs>
              <w:tab w:val="left" w:pos="800"/>
              <w:tab w:val="right" w:leader="dot" w:pos="8828"/>
            </w:tabs>
            <w:rPr>
              <w:rFonts w:ascii="Verdana" w:hAnsi="Verdana"/>
              <w:smallCaps w:val="0"/>
              <w:noProof/>
              <w:sz w:val="18"/>
              <w:szCs w:val="18"/>
              <w:lang w:eastAsia="es-CO"/>
            </w:rPr>
          </w:pPr>
          <w:hyperlink w:history="1" w:anchor="_Toc234618990">
            <w:r w:rsidRPr="0052768E">
              <w:rPr>
                <w:rStyle w:val="Hipervnculo"/>
                <w:rFonts w:ascii="Verdana" w:hAnsi="Verdana"/>
                <w:noProof/>
                <w:sz w:val="18"/>
                <w:szCs w:val="18"/>
              </w:rPr>
              <w:t>2.2.</w:t>
            </w:r>
            <w:r w:rsidRPr="0052768E">
              <w:rPr>
                <w:rFonts w:ascii="Verdana" w:hAnsi="Verdana"/>
                <w:smallCaps w:val="0"/>
                <w:noProof/>
                <w:sz w:val="18"/>
                <w:szCs w:val="18"/>
                <w:lang w:eastAsia="es-CO"/>
              </w:rPr>
              <w:tab/>
            </w:r>
            <w:r w:rsidRPr="0052768E">
              <w:rPr>
                <w:rStyle w:val="Hipervnculo"/>
                <w:rFonts w:ascii="Verdana" w:hAnsi="Verdana"/>
                <w:noProof/>
                <w:sz w:val="18"/>
                <w:szCs w:val="18"/>
              </w:rPr>
              <w:t>Necesidades de Financiación</w:t>
            </w:r>
            <w:r w:rsidRPr="0052768E">
              <w:rPr>
                <w:rFonts w:ascii="Verdana" w:hAnsi="Verdana"/>
                <w:noProof/>
                <w:webHidden/>
                <w:sz w:val="18"/>
                <w:szCs w:val="18"/>
              </w:rPr>
              <w:tab/>
            </w:r>
            <w:r w:rsidRPr="0052768E">
              <w:rPr>
                <w:rFonts w:ascii="Verdana" w:hAnsi="Verdana"/>
                <w:noProof/>
                <w:webHidden/>
                <w:sz w:val="18"/>
                <w:szCs w:val="18"/>
              </w:rPr>
              <w:fldChar w:fldCharType="begin"/>
            </w:r>
            <w:r w:rsidRPr="0052768E">
              <w:rPr>
                <w:rFonts w:ascii="Verdana" w:hAnsi="Verdana"/>
                <w:noProof/>
                <w:webHidden/>
                <w:sz w:val="18"/>
                <w:szCs w:val="18"/>
              </w:rPr>
              <w:instrText xml:space="preserve"> PAGEREF _Toc234618990 \h </w:instrText>
            </w:r>
            <w:r w:rsidRPr="0052768E">
              <w:rPr>
                <w:rFonts w:ascii="Verdana" w:hAnsi="Verdana"/>
                <w:noProof/>
                <w:webHidden/>
                <w:sz w:val="18"/>
                <w:szCs w:val="18"/>
              </w:rPr>
            </w:r>
            <w:r w:rsidRPr="0052768E">
              <w:rPr>
                <w:rFonts w:ascii="Verdana" w:hAnsi="Verdana"/>
                <w:noProof/>
                <w:webHidden/>
                <w:sz w:val="18"/>
                <w:szCs w:val="18"/>
              </w:rPr>
              <w:fldChar w:fldCharType="separate"/>
            </w:r>
            <w:r w:rsidRPr="0052768E">
              <w:rPr>
                <w:rFonts w:ascii="Verdana" w:hAnsi="Verdana"/>
                <w:noProof/>
                <w:webHidden/>
                <w:sz w:val="18"/>
                <w:szCs w:val="18"/>
              </w:rPr>
              <w:t>10</w:t>
            </w:r>
            <w:r w:rsidRPr="0052768E">
              <w:rPr>
                <w:rFonts w:ascii="Verdana" w:hAnsi="Verdana"/>
                <w:noProof/>
                <w:webHidden/>
                <w:sz w:val="18"/>
                <w:szCs w:val="18"/>
              </w:rPr>
              <w:fldChar w:fldCharType="end"/>
            </w:r>
          </w:hyperlink>
        </w:p>
        <w:p w:rsidRPr="0052768E" w:rsidR="0052768E" w:rsidRDefault="0052768E" w14:paraId="4B33C6AE" w14:textId="52CCCD73">
          <w:pPr>
            <w:pStyle w:val="TDC2"/>
            <w:tabs>
              <w:tab w:val="left" w:pos="800"/>
              <w:tab w:val="right" w:leader="dot" w:pos="8828"/>
            </w:tabs>
            <w:rPr>
              <w:rFonts w:ascii="Verdana" w:hAnsi="Verdana"/>
              <w:smallCaps w:val="0"/>
              <w:noProof/>
              <w:sz w:val="18"/>
              <w:szCs w:val="18"/>
              <w:lang w:eastAsia="es-CO"/>
            </w:rPr>
          </w:pPr>
          <w:hyperlink w:history="1" w:anchor="_Toc234618991">
            <w:r w:rsidRPr="0052768E">
              <w:rPr>
                <w:rStyle w:val="Hipervnculo"/>
                <w:rFonts w:ascii="Verdana" w:hAnsi="Verdana"/>
                <w:noProof/>
                <w:sz w:val="18"/>
                <w:szCs w:val="18"/>
              </w:rPr>
              <w:t>2.3.</w:t>
            </w:r>
            <w:r w:rsidRPr="0052768E">
              <w:rPr>
                <w:rFonts w:ascii="Verdana" w:hAnsi="Verdana"/>
                <w:smallCaps w:val="0"/>
                <w:noProof/>
                <w:sz w:val="18"/>
                <w:szCs w:val="18"/>
                <w:lang w:eastAsia="es-CO"/>
              </w:rPr>
              <w:tab/>
            </w:r>
            <w:r w:rsidRPr="0052768E">
              <w:rPr>
                <w:rStyle w:val="Hipervnculo"/>
                <w:rFonts w:ascii="Verdana" w:hAnsi="Verdana"/>
                <w:noProof/>
                <w:sz w:val="18"/>
                <w:szCs w:val="18"/>
              </w:rPr>
              <w:t>Incentivos</w:t>
            </w:r>
            <w:r w:rsidRPr="0052768E">
              <w:rPr>
                <w:rFonts w:ascii="Verdana" w:hAnsi="Verdana"/>
                <w:noProof/>
                <w:webHidden/>
                <w:sz w:val="18"/>
                <w:szCs w:val="18"/>
              </w:rPr>
              <w:tab/>
            </w:r>
            <w:r w:rsidRPr="0052768E">
              <w:rPr>
                <w:rFonts w:ascii="Verdana" w:hAnsi="Verdana"/>
                <w:noProof/>
                <w:webHidden/>
                <w:sz w:val="18"/>
                <w:szCs w:val="18"/>
              </w:rPr>
              <w:fldChar w:fldCharType="begin"/>
            </w:r>
            <w:r w:rsidRPr="0052768E">
              <w:rPr>
                <w:rFonts w:ascii="Verdana" w:hAnsi="Verdana"/>
                <w:noProof/>
                <w:webHidden/>
                <w:sz w:val="18"/>
                <w:szCs w:val="18"/>
              </w:rPr>
              <w:instrText xml:space="preserve"> PAGEREF _Toc234618991 \h </w:instrText>
            </w:r>
            <w:r w:rsidRPr="0052768E">
              <w:rPr>
                <w:rFonts w:ascii="Verdana" w:hAnsi="Verdana"/>
                <w:noProof/>
                <w:webHidden/>
                <w:sz w:val="18"/>
                <w:szCs w:val="18"/>
              </w:rPr>
            </w:r>
            <w:r w:rsidRPr="0052768E">
              <w:rPr>
                <w:rFonts w:ascii="Verdana" w:hAnsi="Verdana"/>
                <w:noProof/>
                <w:webHidden/>
                <w:sz w:val="18"/>
                <w:szCs w:val="18"/>
              </w:rPr>
              <w:fldChar w:fldCharType="separate"/>
            </w:r>
            <w:r w:rsidRPr="0052768E">
              <w:rPr>
                <w:rFonts w:ascii="Verdana" w:hAnsi="Verdana"/>
                <w:noProof/>
                <w:webHidden/>
                <w:sz w:val="18"/>
                <w:szCs w:val="18"/>
              </w:rPr>
              <w:t>11</w:t>
            </w:r>
            <w:r w:rsidRPr="0052768E">
              <w:rPr>
                <w:rFonts w:ascii="Verdana" w:hAnsi="Verdana"/>
                <w:noProof/>
                <w:webHidden/>
                <w:sz w:val="18"/>
                <w:szCs w:val="18"/>
              </w:rPr>
              <w:fldChar w:fldCharType="end"/>
            </w:r>
          </w:hyperlink>
        </w:p>
        <w:p w:rsidRPr="0052768E" w:rsidR="0052768E" w:rsidRDefault="0052768E" w14:paraId="1C59E4A5" w14:textId="50424B35">
          <w:pPr>
            <w:pStyle w:val="TDC2"/>
            <w:tabs>
              <w:tab w:val="left" w:pos="800"/>
              <w:tab w:val="right" w:leader="dot" w:pos="8828"/>
            </w:tabs>
            <w:rPr>
              <w:rFonts w:ascii="Verdana" w:hAnsi="Verdana"/>
              <w:smallCaps w:val="0"/>
              <w:noProof/>
              <w:sz w:val="18"/>
              <w:szCs w:val="18"/>
              <w:lang w:eastAsia="es-CO"/>
            </w:rPr>
          </w:pPr>
          <w:hyperlink w:history="1" w:anchor="_Toc234618992">
            <w:r w:rsidRPr="0052768E">
              <w:rPr>
                <w:rStyle w:val="Hipervnculo"/>
                <w:rFonts w:ascii="Verdana" w:hAnsi="Verdana"/>
                <w:noProof/>
                <w:sz w:val="18"/>
                <w:szCs w:val="18"/>
              </w:rPr>
              <w:t>2.4.</w:t>
            </w:r>
            <w:r w:rsidRPr="0052768E">
              <w:rPr>
                <w:rFonts w:ascii="Verdana" w:hAnsi="Verdana"/>
                <w:smallCaps w:val="0"/>
                <w:noProof/>
                <w:sz w:val="18"/>
                <w:szCs w:val="18"/>
                <w:lang w:eastAsia="es-CO"/>
              </w:rPr>
              <w:tab/>
            </w:r>
            <w:r w:rsidRPr="0052768E">
              <w:rPr>
                <w:rStyle w:val="Hipervnculo"/>
                <w:rFonts w:ascii="Verdana" w:hAnsi="Verdana"/>
                <w:noProof/>
                <w:sz w:val="18"/>
                <w:szCs w:val="18"/>
              </w:rPr>
              <w:t>Mecanismo Financiero</w:t>
            </w:r>
            <w:r w:rsidRPr="0052768E">
              <w:rPr>
                <w:rFonts w:ascii="Verdana" w:hAnsi="Verdana"/>
                <w:noProof/>
                <w:webHidden/>
                <w:sz w:val="18"/>
                <w:szCs w:val="18"/>
              </w:rPr>
              <w:tab/>
            </w:r>
            <w:r w:rsidRPr="0052768E">
              <w:rPr>
                <w:rFonts w:ascii="Verdana" w:hAnsi="Verdana"/>
                <w:noProof/>
                <w:webHidden/>
                <w:sz w:val="18"/>
                <w:szCs w:val="18"/>
              </w:rPr>
              <w:fldChar w:fldCharType="begin"/>
            </w:r>
            <w:r w:rsidRPr="0052768E">
              <w:rPr>
                <w:rFonts w:ascii="Verdana" w:hAnsi="Verdana"/>
                <w:noProof/>
                <w:webHidden/>
                <w:sz w:val="18"/>
                <w:szCs w:val="18"/>
              </w:rPr>
              <w:instrText xml:space="preserve"> PAGEREF _Toc234618992 \h </w:instrText>
            </w:r>
            <w:r w:rsidRPr="0052768E">
              <w:rPr>
                <w:rFonts w:ascii="Verdana" w:hAnsi="Verdana"/>
                <w:noProof/>
                <w:webHidden/>
                <w:sz w:val="18"/>
                <w:szCs w:val="18"/>
              </w:rPr>
            </w:r>
            <w:r w:rsidRPr="0052768E">
              <w:rPr>
                <w:rFonts w:ascii="Verdana" w:hAnsi="Verdana"/>
                <w:noProof/>
                <w:webHidden/>
                <w:sz w:val="18"/>
                <w:szCs w:val="18"/>
              </w:rPr>
              <w:fldChar w:fldCharType="separate"/>
            </w:r>
            <w:r w:rsidRPr="0052768E">
              <w:rPr>
                <w:rFonts w:ascii="Verdana" w:hAnsi="Verdana"/>
                <w:noProof/>
                <w:webHidden/>
                <w:sz w:val="18"/>
                <w:szCs w:val="18"/>
              </w:rPr>
              <w:t>13</w:t>
            </w:r>
            <w:r w:rsidRPr="0052768E">
              <w:rPr>
                <w:rFonts w:ascii="Verdana" w:hAnsi="Verdana"/>
                <w:noProof/>
                <w:webHidden/>
                <w:sz w:val="18"/>
                <w:szCs w:val="18"/>
              </w:rPr>
              <w:fldChar w:fldCharType="end"/>
            </w:r>
          </w:hyperlink>
        </w:p>
        <w:p w:rsidRPr="0052768E" w:rsidR="0052768E" w:rsidRDefault="0052768E" w14:paraId="3FA542D7" w14:textId="32AA30D4">
          <w:pPr>
            <w:pStyle w:val="TDC1"/>
            <w:tabs>
              <w:tab w:val="left" w:pos="400"/>
              <w:tab w:val="right" w:leader="dot" w:pos="8828"/>
            </w:tabs>
            <w:rPr>
              <w:rFonts w:ascii="Verdana" w:hAnsi="Verdana"/>
              <w:b w:val="0"/>
              <w:bCs w:val="0"/>
              <w:caps w:val="0"/>
              <w:noProof/>
              <w:sz w:val="18"/>
              <w:szCs w:val="18"/>
              <w:lang w:eastAsia="es-CO"/>
            </w:rPr>
          </w:pPr>
          <w:hyperlink w:history="1" w:anchor="_Toc234618993">
            <w:r w:rsidRPr="0052768E">
              <w:rPr>
                <w:rStyle w:val="Hipervnculo"/>
                <w:rFonts w:ascii="Verdana" w:hAnsi="Verdana"/>
                <w:noProof/>
                <w:sz w:val="18"/>
                <w:szCs w:val="18"/>
              </w:rPr>
              <w:t>3.</w:t>
            </w:r>
            <w:r w:rsidRPr="0052768E">
              <w:rPr>
                <w:rFonts w:ascii="Verdana" w:hAnsi="Verdana"/>
                <w:b w:val="0"/>
                <w:bCs w:val="0"/>
                <w:caps w:val="0"/>
                <w:noProof/>
                <w:sz w:val="18"/>
                <w:szCs w:val="18"/>
                <w:lang w:eastAsia="es-CO"/>
              </w:rPr>
              <w:tab/>
            </w:r>
            <w:r w:rsidRPr="0052768E">
              <w:rPr>
                <w:rStyle w:val="Hipervnculo"/>
                <w:rFonts w:ascii="Verdana" w:hAnsi="Verdana"/>
                <w:noProof/>
                <w:sz w:val="18"/>
                <w:szCs w:val="18"/>
              </w:rPr>
              <w:t>PROCESO PARTICIPATIVO: FASE DE CONSULTA Y FASE DE CONCERTACIÓN</w:t>
            </w:r>
            <w:r w:rsidRPr="0052768E">
              <w:rPr>
                <w:rFonts w:ascii="Verdana" w:hAnsi="Verdana"/>
                <w:noProof/>
                <w:webHidden/>
                <w:sz w:val="18"/>
                <w:szCs w:val="18"/>
              </w:rPr>
              <w:tab/>
            </w:r>
            <w:r w:rsidRPr="0052768E">
              <w:rPr>
                <w:rFonts w:ascii="Verdana" w:hAnsi="Verdana"/>
                <w:noProof/>
                <w:webHidden/>
                <w:sz w:val="18"/>
                <w:szCs w:val="18"/>
              </w:rPr>
              <w:fldChar w:fldCharType="begin"/>
            </w:r>
            <w:r w:rsidRPr="0052768E">
              <w:rPr>
                <w:rFonts w:ascii="Verdana" w:hAnsi="Verdana"/>
                <w:noProof/>
                <w:webHidden/>
                <w:sz w:val="18"/>
                <w:szCs w:val="18"/>
              </w:rPr>
              <w:instrText xml:space="preserve"> PAGEREF _Toc234618993 \h </w:instrText>
            </w:r>
            <w:r w:rsidRPr="0052768E">
              <w:rPr>
                <w:rFonts w:ascii="Verdana" w:hAnsi="Verdana"/>
                <w:noProof/>
                <w:webHidden/>
                <w:sz w:val="18"/>
                <w:szCs w:val="18"/>
              </w:rPr>
            </w:r>
            <w:r w:rsidRPr="0052768E">
              <w:rPr>
                <w:rFonts w:ascii="Verdana" w:hAnsi="Verdana"/>
                <w:noProof/>
                <w:webHidden/>
                <w:sz w:val="18"/>
                <w:szCs w:val="18"/>
              </w:rPr>
              <w:fldChar w:fldCharType="separate"/>
            </w:r>
            <w:r w:rsidRPr="0052768E">
              <w:rPr>
                <w:rFonts w:ascii="Verdana" w:hAnsi="Verdana"/>
                <w:noProof/>
                <w:webHidden/>
                <w:sz w:val="18"/>
                <w:szCs w:val="18"/>
              </w:rPr>
              <w:t>14</w:t>
            </w:r>
            <w:r w:rsidRPr="0052768E">
              <w:rPr>
                <w:rFonts w:ascii="Verdana" w:hAnsi="Verdana"/>
                <w:noProof/>
                <w:webHidden/>
                <w:sz w:val="18"/>
                <w:szCs w:val="18"/>
              </w:rPr>
              <w:fldChar w:fldCharType="end"/>
            </w:r>
          </w:hyperlink>
        </w:p>
        <w:p w:rsidRPr="0052768E" w:rsidR="0052768E" w:rsidRDefault="0052768E" w14:paraId="42021516" w14:textId="576EFD2C">
          <w:pPr>
            <w:pStyle w:val="TDC2"/>
            <w:tabs>
              <w:tab w:val="left" w:pos="800"/>
              <w:tab w:val="right" w:leader="dot" w:pos="8828"/>
            </w:tabs>
            <w:rPr>
              <w:rFonts w:ascii="Verdana" w:hAnsi="Verdana"/>
              <w:smallCaps w:val="0"/>
              <w:noProof/>
              <w:sz w:val="18"/>
              <w:szCs w:val="18"/>
              <w:lang w:eastAsia="es-CO"/>
            </w:rPr>
          </w:pPr>
          <w:hyperlink w:history="1" w:anchor="_Toc234618994">
            <w:r w:rsidRPr="0052768E">
              <w:rPr>
                <w:rStyle w:val="Hipervnculo"/>
                <w:rFonts w:ascii="Verdana" w:hAnsi="Verdana"/>
                <w:noProof/>
                <w:sz w:val="18"/>
                <w:szCs w:val="18"/>
              </w:rPr>
              <w:t>3.1.</w:t>
            </w:r>
            <w:r w:rsidRPr="0052768E">
              <w:rPr>
                <w:rFonts w:ascii="Verdana" w:hAnsi="Verdana"/>
                <w:smallCaps w:val="0"/>
                <w:noProof/>
                <w:sz w:val="18"/>
                <w:szCs w:val="18"/>
                <w:lang w:eastAsia="es-CO"/>
              </w:rPr>
              <w:tab/>
            </w:r>
            <w:r w:rsidRPr="0052768E">
              <w:rPr>
                <w:rStyle w:val="Hipervnculo"/>
                <w:rFonts w:ascii="Verdana" w:hAnsi="Verdana"/>
                <w:noProof/>
                <w:sz w:val="18"/>
                <w:szCs w:val="18"/>
              </w:rPr>
              <w:t>Fase de Consulta</w:t>
            </w:r>
            <w:r w:rsidRPr="0052768E">
              <w:rPr>
                <w:rFonts w:ascii="Verdana" w:hAnsi="Verdana"/>
                <w:noProof/>
                <w:webHidden/>
                <w:sz w:val="18"/>
                <w:szCs w:val="18"/>
              </w:rPr>
              <w:tab/>
            </w:r>
            <w:r w:rsidRPr="0052768E">
              <w:rPr>
                <w:rFonts w:ascii="Verdana" w:hAnsi="Verdana"/>
                <w:noProof/>
                <w:webHidden/>
                <w:sz w:val="18"/>
                <w:szCs w:val="18"/>
              </w:rPr>
              <w:fldChar w:fldCharType="begin"/>
            </w:r>
            <w:r w:rsidRPr="0052768E">
              <w:rPr>
                <w:rFonts w:ascii="Verdana" w:hAnsi="Verdana"/>
                <w:noProof/>
                <w:webHidden/>
                <w:sz w:val="18"/>
                <w:szCs w:val="18"/>
              </w:rPr>
              <w:instrText xml:space="preserve"> PAGEREF _Toc234618994 \h </w:instrText>
            </w:r>
            <w:r w:rsidRPr="0052768E">
              <w:rPr>
                <w:rFonts w:ascii="Verdana" w:hAnsi="Verdana"/>
                <w:noProof/>
                <w:webHidden/>
                <w:sz w:val="18"/>
                <w:szCs w:val="18"/>
              </w:rPr>
            </w:r>
            <w:r w:rsidRPr="0052768E">
              <w:rPr>
                <w:rFonts w:ascii="Verdana" w:hAnsi="Verdana"/>
                <w:noProof/>
                <w:webHidden/>
                <w:sz w:val="18"/>
                <w:szCs w:val="18"/>
              </w:rPr>
              <w:fldChar w:fldCharType="separate"/>
            </w:r>
            <w:r w:rsidRPr="0052768E">
              <w:rPr>
                <w:rFonts w:ascii="Verdana" w:hAnsi="Verdana"/>
                <w:noProof/>
                <w:webHidden/>
                <w:sz w:val="18"/>
                <w:szCs w:val="18"/>
              </w:rPr>
              <w:t>14</w:t>
            </w:r>
            <w:r w:rsidRPr="0052768E">
              <w:rPr>
                <w:rFonts w:ascii="Verdana" w:hAnsi="Verdana"/>
                <w:noProof/>
                <w:webHidden/>
                <w:sz w:val="18"/>
                <w:szCs w:val="18"/>
              </w:rPr>
              <w:fldChar w:fldCharType="end"/>
            </w:r>
          </w:hyperlink>
        </w:p>
        <w:p w:rsidRPr="0052768E" w:rsidR="0052768E" w:rsidRDefault="0052768E" w14:paraId="64EFC4CE" w14:textId="46D8F87F">
          <w:pPr>
            <w:pStyle w:val="TDC2"/>
            <w:tabs>
              <w:tab w:val="left" w:pos="800"/>
              <w:tab w:val="right" w:leader="dot" w:pos="8828"/>
            </w:tabs>
            <w:rPr>
              <w:rFonts w:ascii="Verdana" w:hAnsi="Verdana"/>
              <w:smallCaps w:val="0"/>
              <w:noProof/>
              <w:sz w:val="18"/>
              <w:szCs w:val="18"/>
              <w:lang w:eastAsia="es-CO"/>
            </w:rPr>
          </w:pPr>
          <w:hyperlink w:history="1" w:anchor="_Toc234618995">
            <w:r w:rsidRPr="0052768E">
              <w:rPr>
                <w:rStyle w:val="Hipervnculo"/>
                <w:rFonts w:ascii="Verdana" w:hAnsi="Verdana"/>
                <w:noProof/>
                <w:sz w:val="18"/>
                <w:szCs w:val="18"/>
              </w:rPr>
              <w:t>3.2.</w:t>
            </w:r>
            <w:r w:rsidRPr="0052768E">
              <w:rPr>
                <w:rFonts w:ascii="Verdana" w:hAnsi="Verdana"/>
                <w:smallCaps w:val="0"/>
                <w:noProof/>
                <w:sz w:val="18"/>
                <w:szCs w:val="18"/>
                <w:lang w:eastAsia="es-CO"/>
              </w:rPr>
              <w:tab/>
            </w:r>
            <w:r w:rsidRPr="0052768E">
              <w:rPr>
                <w:rStyle w:val="Hipervnculo"/>
                <w:rFonts w:ascii="Verdana" w:hAnsi="Verdana"/>
                <w:noProof/>
                <w:sz w:val="18"/>
                <w:szCs w:val="18"/>
              </w:rPr>
              <w:t>Estructura del Modelo de Financiación para la fase de Concertación</w:t>
            </w:r>
            <w:r w:rsidRPr="0052768E">
              <w:rPr>
                <w:rFonts w:ascii="Verdana" w:hAnsi="Verdana"/>
                <w:noProof/>
                <w:webHidden/>
                <w:sz w:val="18"/>
                <w:szCs w:val="18"/>
              </w:rPr>
              <w:tab/>
            </w:r>
            <w:r w:rsidRPr="0052768E">
              <w:rPr>
                <w:rFonts w:ascii="Verdana" w:hAnsi="Verdana"/>
                <w:noProof/>
                <w:webHidden/>
                <w:sz w:val="18"/>
                <w:szCs w:val="18"/>
              </w:rPr>
              <w:fldChar w:fldCharType="begin"/>
            </w:r>
            <w:r w:rsidRPr="0052768E">
              <w:rPr>
                <w:rFonts w:ascii="Verdana" w:hAnsi="Verdana"/>
                <w:noProof/>
                <w:webHidden/>
                <w:sz w:val="18"/>
                <w:szCs w:val="18"/>
              </w:rPr>
              <w:instrText xml:space="preserve"> PAGEREF _Toc234618995 \h </w:instrText>
            </w:r>
            <w:r w:rsidRPr="0052768E">
              <w:rPr>
                <w:rFonts w:ascii="Verdana" w:hAnsi="Verdana"/>
                <w:noProof/>
                <w:webHidden/>
                <w:sz w:val="18"/>
                <w:szCs w:val="18"/>
              </w:rPr>
            </w:r>
            <w:r w:rsidRPr="0052768E">
              <w:rPr>
                <w:rFonts w:ascii="Verdana" w:hAnsi="Verdana"/>
                <w:noProof/>
                <w:webHidden/>
                <w:sz w:val="18"/>
                <w:szCs w:val="18"/>
              </w:rPr>
              <w:fldChar w:fldCharType="separate"/>
            </w:r>
            <w:r w:rsidRPr="0052768E">
              <w:rPr>
                <w:rFonts w:ascii="Verdana" w:hAnsi="Verdana"/>
                <w:noProof/>
                <w:webHidden/>
                <w:sz w:val="18"/>
                <w:szCs w:val="18"/>
              </w:rPr>
              <w:t>26</w:t>
            </w:r>
            <w:r w:rsidRPr="0052768E">
              <w:rPr>
                <w:rFonts w:ascii="Verdana" w:hAnsi="Verdana"/>
                <w:noProof/>
                <w:webHidden/>
                <w:sz w:val="18"/>
                <w:szCs w:val="18"/>
              </w:rPr>
              <w:fldChar w:fldCharType="end"/>
            </w:r>
          </w:hyperlink>
        </w:p>
        <w:p w:rsidRPr="0052768E" w:rsidR="0052768E" w:rsidRDefault="0052768E" w14:paraId="5D5E0E8B" w14:textId="3810F0D6">
          <w:pPr>
            <w:pStyle w:val="TDC2"/>
            <w:tabs>
              <w:tab w:val="left" w:pos="800"/>
              <w:tab w:val="right" w:leader="dot" w:pos="8828"/>
            </w:tabs>
            <w:rPr>
              <w:rFonts w:ascii="Verdana" w:hAnsi="Verdana"/>
              <w:smallCaps w:val="0"/>
              <w:noProof/>
              <w:sz w:val="18"/>
              <w:szCs w:val="18"/>
              <w:lang w:eastAsia="es-CO"/>
            </w:rPr>
          </w:pPr>
          <w:hyperlink w:history="1" w:anchor="_Toc234618996">
            <w:r w:rsidRPr="0052768E">
              <w:rPr>
                <w:rStyle w:val="Hipervnculo"/>
                <w:rFonts w:ascii="Verdana" w:hAnsi="Verdana"/>
                <w:noProof/>
                <w:sz w:val="18"/>
                <w:szCs w:val="18"/>
              </w:rPr>
              <w:t>3.3.</w:t>
            </w:r>
            <w:r w:rsidRPr="0052768E">
              <w:rPr>
                <w:rFonts w:ascii="Verdana" w:hAnsi="Verdana"/>
                <w:smallCaps w:val="0"/>
                <w:noProof/>
                <w:sz w:val="18"/>
                <w:szCs w:val="18"/>
                <w:lang w:eastAsia="es-CO"/>
              </w:rPr>
              <w:tab/>
            </w:r>
            <w:r w:rsidRPr="0052768E">
              <w:rPr>
                <w:rStyle w:val="Hipervnculo"/>
                <w:rFonts w:ascii="Verdana" w:hAnsi="Verdana"/>
                <w:noProof/>
                <w:sz w:val="18"/>
                <w:szCs w:val="18"/>
              </w:rPr>
              <w:t>Fase de Concertación</w:t>
            </w:r>
            <w:r w:rsidRPr="0052768E">
              <w:rPr>
                <w:rFonts w:ascii="Verdana" w:hAnsi="Verdana"/>
                <w:noProof/>
                <w:webHidden/>
                <w:sz w:val="18"/>
                <w:szCs w:val="18"/>
              </w:rPr>
              <w:tab/>
            </w:r>
            <w:r w:rsidRPr="0052768E">
              <w:rPr>
                <w:rFonts w:ascii="Verdana" w:hAnsi="Verdana"/>
                <w:noProof/>
                <w:webHidden/>
                <w:sz w:val="18"/>
                <w:szCs w:val="18"/>
              </w:rPr>
              <w:fldChar w:fldCharType="begin"/>
            </w:r>
            <w:r w:rsidRPr="0052768E">
              <w:rPr>
                <w:rFonts w:ascii="Verdana" w:hAnsi="Verdana"/>
                <w:noProof/>
                <w:webHidden/>
                <w:sz w:val="18"/>
                <w:szCs w:val="18"/>
              </w:rPr>
              <w:instrText xml:space="preserve"> PAGEREF _Toc234618996 \h </w:instrText>
            </w:r>
            <w:r w:rsidRPr="0052768E">
              <w:rPr>
                <w:rFonts w:ascii="Verdana" w:hAnsi="Verdana"/>
                <w:noProof/>
                <w:webHidden/>
                <w:sz w:val="18"/>
                <w:szCs w:val="18"/>
              </w:rPr>
            </w:r>
            <w:r w:rsidRPr="0052768E">
              <w:rPr>
                <w:rFonts w:ascii="Verdana" w:hAnsi="Verdana"/>
                <w:noProof/>
                <w:webHidden/>
                <w:sz w:val="18"/>
                <w:szCs w:val="18"/>
              </w:rPr>
              <w:fldChar w:fldCharType="separate"/>
            </w:r>
            <w:r w:rsidRPr="0052768E">
              <w:rPr>
                <w:rFonts w:ascii="Verdana" w:hAnsi="Verdana"/>
                <w:noProof/>
                <w:webHidden/>
                <w:sz w:val="18"/>
                <w:szCs w:val="18"/>
              </w:rPr>
              <w:t>29</w:t>
            </w:r>
            <w:r w:rsidRPr="0052768E">
              <w:rPr>
                <w:rFonts w:ascii="Verdana" w:hAnsi="Verdana"/>
                <w:noProof/>
                <w:webHidden/>
                <w:sz w:val="18"/>
                <w:szCs w:val="18"/>
              </w:rPr>
              <w:fldChar w:fldCharType="end"/>
            </w:r>
          </w:hyperlink>
        </w:p>
        <w:p w:rsidR="0052768E" w:rsidRDefault="0052768E" w14:paraId="6F3F82E1" w14:textId="7C60C010">
          <w:r w:rsidRPr="0052768E">
            <w:rPr>
              <w:rFonts w:ascii="Verdana" w:hAnsi="Verdana"/>
              <w:b/>
              <w:bCs/>
              <w:caps/>
              <w:sz w:val="18"/>
              <w:szCs w:val="18"/>
            </w:rPr>
            <w:fldChar w:fldCharType="end"/>
          </w:r>
        </w:p>
      </w:sdtContent>
    </w:sdt>
    <w:p w:rsidRPr="0052768E" w:rsidR="0052768E" w:rsidP="0052768E" w:rsidRDefault="0052768E" w14:paraId="7DD2C788" w14:textId="77777777"/>
    <w:p w:rsidR="00B6371E" w:rsidP="00C75E01" w:rsidRDefault="00B6371E" w14:paraId="20419517" w14:textId="1643A2E1">
      <w:pPr>
        <w:rPr>
          <w:rFonts w:ascii="Verdana" w:hAnsi="Verdana"/>
          <w:b/>
          <w:bCs/>
          <w:sz w:val="22"/>
          <w:szCs w:val="22"/>
        </w:rPr>
      </w:pPr>
    </w:p>
    <w:p w:rsidR="00B6371E" w:rsidP="00C75E01" w:rsidRDefault="00B6371E" w14:paraId="3BCC5061" w14:textId="22FD3BE3">
      <w:pPr>
        <w:rPr>
          <w:rFonts w:ascii="Verdana" w:hAnsi="Verdana"/>
          <w:b/>
          <w:bCs/>
          <w:sz w:val="22"/>
          <w:szCs w:val="22"/>
        </w:rPr>
      </w:pPr>
    </w:p>
    <w:p w:rsidR="00B6371E" w:rsidP="00C75E01" w:rsidRDefault="00B6371E" w14:paraId="67EF4BA7" w14:textId="68F9C9A9">
      <w:pPr>
        <w:rPr>
          <w:rFonts w:ascii="Verdana" w:hAnsi="Verdana"/>
          <w:b/>
          <w:bCs/>
          <w:sz w:val="22"/>
          <w:szCs w:val="22"/>
        </w:rPr>
      </w:pPr>
    </w:p>
    <w:p w:rsidR="00B6371E" w:rsidP="00C75E01" w:rsidRDefault="00B6371E" w14:paraId="51BA4B42" w14:textId="6B13BA92">
      <w:pPr>
        <w:rPr>
          <w:rFonts w:ascii="Verdana" w:hAnsi="Verdana"/>
          <w:b/>
          <w:bCs/>
          <w:sz w:val="22"/>
          <w:szCs w:val="22"/>
        </w:rPr>
      </w:pPr>
    </w:p>
    <w:p w:rsidR="00B6371E" w:rsidP="00C75E01" w:rsidRDefault="00B6371E" w14:paraId="6EE952DF" w14:textId="2460DDFB">
      <w:pPr>
        <w:rPr>
          <w:rFonts w:ascii="Verdana" w:hAnsi="Verdana"/>
          <w:b/>
          <w:bCs/>
          <w:sz w:val="22"/>
          <w:szCs w:val="22"/>
        </w:rPr>
      </w:pPr>
    </w:p>
    <w:p w:rsidR="00B6371E" w:rsidP="00C75E01" w:rsidRDefault="00B6371E" w14:paraId="3330A101" w14:textId="23ADF7D9">
      <w:pPr>
        <w:rPr>
          <w:rFonts w:ascii="Verdana" w:hAnsi="Verdana"/>
          <w:b/>
          <w:bCs/>
          <w:sz w:val="22"/>
          <w:szCs w:val="22"/>
        </w:rPr>
      </w:pPr>
    </w:p>
    <w:p w:rsidR="00B6371E" w:rsidP="00C75E01" w:rsidRDefault="00B6371E" w14:paraId="640A12B3" w14:textId="3478F91A">
      <w:pPr>
        <w:rPr>
          <w:rFonts w:ascii="Verdana" w:hAnsi="Verdana"/>
          <w:b/>
          <w:bCs/>
          <w:sz w:val="22"/>
          <w:szCs w:val="22"/>
        </w:rPr>
      </w:pPr>
    </w:p>
    <w:p w:rsidR="00B6371E" w:rsidP="00C75E01" w:rsidRDefault="00B6371E" w14:paraId="1FF93ACE" w14:textId="49FE8AAB">
      <w:pPr>
        <w:rPr>
          <w:rFonts w:ascii="Verdana" w:hAnsi="Verdana"/>
          <w:b w:val="1"/>
          <w:bCs w:val="1"/>
          <w:sz w:val="22"/>
          <w:szCs w:val="22"/>
        </w:rPr>
      </w:pPr>
    </w:p>
    <w:p w:rsidR="07E0229D" w:rsidP="07E0229D" w:rsidRDefault="07E0229D" w14:paraId="2D2FECFE" w14:textId="1FFE64A0">
      <w:pPr>
        <w:rPr>
          <w:rFonts w:ascii="Verdana" w:hAnsi="Verdana"/>
          <w:b w:val="1"/>
          <w:bCs w:val="1"/>
          <w:sz w:val="22"/>
          <w:szCs w:val="22"/>
        </w:rPr>
      </w:pPr>
    </w:p>
    <w:p w:rsidR="07E0229D" w:rsidP="07E0229D" w:rsidRDefault="07E0229D" w14:paraId="06E1C243" w14:textId="1BBBDCDB">
      <w:pPr>
        <w:rPr>
          <w:rFonts w:ascii="Verdana" w:hAnsi="Verdana"/>
          <w:b w:val="1"/>
          <w:bCs w:val="1"/>
          <w:sz w:val="22"/>
          <w:szCs w:val="22"/>
        </w:rPr>
      </w:pPr>
    </w:p>
    <w:p w:rsidR="07E0229D" w:rsidP="07E0229D" w:rsidRDefault="07E0229D" w14:paraId="2E29BE31" w14:textId="1ED7BFB2">
      <w:pPr>
        <w:rPr>
          <w:rFonts w:ascii="Verdana" w:hAnsi="Verdana"/>
          <w:b w:val="1"/>
          <w:bCs w:val="1"/>
          <w:sz w:val="22"/>
          <w:szCs w:val="22"/>
        </w:rPr>
      </w:pPr>
    </w:p>
    <w:p w:rsidR="07E0229D" w:rsidP="07E0229D" w:rsidRDefault="07E0229D" w14:paraId="40864D7A" w14:textId="325C039E">
      <w:pPr>
        <w:rPr>
          <w:rFonts w:ascii="Verdana" w:hAnsi="Verdana"/>
          <w:b w:val="1"/>
          <w:bCs w:val="1"/>
          <w:sz w:val="22"/>
          <w:szCs w:val="22"/>
        </w:rPr>
      </w:pPr>
    </w:p>
    <w:p w:rsidR="00B6371E" w:rsidP="00C75E01" w:rsidRDefault="00B6371E" w14:paraId="451A8E66" w14:textId="3857C2B4">
      <w:pPr>
        <w:rPr>
          <w:rFonts w:ascii="Verdana" w:hAnsi="Verdana"/>
          <w:b/>
          <w:bCs/>
          <w:sz w:val="22"/>
          <w:szCs w:val="22"/>
        </w:rPr>
      </w:pPr>
    </w:p>
    <w:p w:rsidR="00B6371E" w:rsidP="00C75E01" w:rsidRDefault="00B6371E" w14:paraId="19D556D3" w14:textId="0D76EFB6">
      <w:pPr>
        <w:rPr>
          <w:rFonts w:ascii="Verdana" w:hAnsi="Verdana"/>
          <w:b/>
          <w:bCs/>
          <w:sz w:val="22"/>
          <w:szCs w:val="22"/>
        </w:rPr>
      </w:pPr>
    </w:p>
    <w:p w:rsidRPr="00B163B9" w:rsidR="00B6371E" w:rsidP="4DB08123" w:rsidRDefault="00B6371E" w14:paraId="2EA52F36" w14:textId="54AD400F">
      <w:pPr>
        <w:pStyle w:val="Normal"/>
        <w:rPr>
          <w:rFonts w:ascii="Verdana" w:hAnsi="Verdana"/>
          <w:b w:val="1"/>
          <w:bCs w:val="1"/>
          <w:sz w:val="22"/>
          <w:szCs w:val="22"/>
        </w:rPr>
      </w:pPr>
    </w:p>
    <w:p w:rsidRPr="00B163B9" w:rsidR="00F8766C" w:rsidP="4DB08123" w:rsidRDefault="00F8766C" w14:paraId="26927BB7" w14:textId="1AE12511">
      <w:pPr>
        <w:pStyle w:val="Estilo3"/>
        <w:rPr>
          <w:b w:val="1"/>
          <w:bCs w:val="1"/>
        </w:rPr>
      </w:pPr>
      <w:bookmarkStart w:name="_Toc234617858" w:id="0"/>
      <w:bookmarkStart w:name="_Toc234618985" w:id="1"/>
      <w:r w:rsidRPr="4DB08123" w:rsidR="54212339">
        <w:rPr>
          <w:b w:val="1"/>
          <w:bCs w:val="1"/>
        </w:rPr>
        <w:t xml:space="preserve">ANTECEDENTES Y MARCO </w:t>
      </w:r>
      <w:r w:rsidRPr="4DB08123" w:rsidR="54212339">
        <w:rPr>
          <w:b w:val="1"/>
          <w:bCs w:val="1"/>
        </w:rPr>
        <w:t>NORMATIVO</w:t>
      </w:r>
      <w:bookmarkEnd w:id="0"/>
      <w:bookmarkEnd w:id="1"/>
    </w:p>
    <w:p w:rsidRPr="00C75E01" w:rsidR="00F8766C" w:rsidP="00C75E01" w:rsidRDefault="00F8766C" w14:paraId="4A57BF1D" w14:textId="77777777">
      <w:pPr>
        <w:ind w:left="360"/>
        <w:jc w:val="both"/>
        <w:rPr>
          <w:rFonts w:ascii="Verdana" w:hAnsi="Verdana"/>
          <w:b/>
          <w:bCs/>
          <w:sz w:val="22"/>
          <w:szCs w:val="22"/>
        </w:rPr>
      </w:pPr>
    </w:p>
    <w:p w:rsidRPr="00B163B9" w:rsidR="00F8766C" w:rsidP="00C75E01" w:rsidRDefault="00F8766C" w14:paraId="1C17870F" w14:textId="57F4E5F9">
      <w:pPr>
        <w:pStyle w:val="Estilo4"/>
      </w:pPr>
      <w:bookmarkStart w:name="_Toc234617859" w:id="2"/>
      <w:bookmarkStart w:name="_Toc234618986" w:id="3"/>
      <w:r w:rsidRPr="00B163B9">
        <w:t>Fundamentos Jurídicos</w:t>
      </w:r>
      <w:bookmarkEnd w:id="2"/>
      <w:bookmarkEnd w:id="3"/>
    </w:p>
    <w:p w:rsidRPr="00B163B9" w:rsidR="00F8766C" w:rsidP="00F8766C" w:rsidRDefault="00F8766C" w14:paraId="69275E84" w14:textId="6D1266BE">
      <w:pPr>
        <w:jc w:val="both"/>
        <w:rPr>
          <w:rFonts w:ascii="Verdana" w:hAnsi="Verdana"/>
          <w:b/>
          <w:bCs/>
          <w:sz w:val="22"/>
          <w:szCs w:val="22"/>
        </w:rPr>
      </w:pPr>
    </w:p>
    <w:p w:rsidRPr="00B163B9" w:rsidR="00F8766C" w:rsidP="00F8766C" w:rsidRDefault="00F8766C" w14:paraId="48BFA3D4" w14:textId="4AE86700">
      <w:pPr>
        <w:jc w:val="both"/>
        <w:rPr>
          <w:rFonts w:ascii="Verdana" w:hAnsi="Verdana"/>
          <w:sz w:val="22"/>
          <w:szCs w:val="22"/>
        </w:rPr>
      </w:pPr>
      <w:r w:rsidRPr="00B163B9">
        <w:rPr>
          <w:rFonts w:ascii="Verdana" w:hAnsi="Verdana"/>
          <w:sz w:val="22"/>
          <w:szCs w:val="22"/>
        </w:rPr>
        <w:t xml:space="preserve">En el marco de la decisión y el alcance de las órdenes impartidas por la </w:t>
      </w:r>
      <w:r w:rsidRPr="00B163B9">
        <w:rPr>
          <w:rFonts w:ascii="Verdana" w:hAnsi="Verdana"/>
          <w:b/>
          <w:bCs/>
          <w:sz w:val="22"/>
          <w:szCs w:val="22"/>
        </w:rPr>
        <w:t>Sentencia T-361 de 2017</w:t>
      </w:r>
      <w:r w:rsidRPr="00B163B9">
        <w:rPr>
          <w:rFonts w:ascii="Verdana" w:hAnsi="Verdana"/>
          <w:sz w:val="22"/>
          <w:szCs w:val="22"/>
        </w:rPr>
        <w:t>, en relación al modelo financiero, en el numeral 19.3 se establece:</w:t>
      </w:r>
    </w:p>
    <w:p w:rsidRPr="00B163B9" w:rsidR="00F8766C" w:rsidP="0076041F" w:rsidRDefault="00F8766C" w14:paraId="651C049F" w14:textId="7E6DFB79">
      <w:pPr>
        <w:ind w:left="708"/>
        <w:jc w:val="both"/>
        <w:rPr>
          <w:rFonts w:ascii="Verdana" w:hAnsi="Verdana"/>
          <w:i/>
          <w:iCs/>
          <w:sz w:val="22"/>
          <w:szCs w:val="22"/>
        </w:rPr>
      </w:pPr>
      <w:r w:rsidRPr="00B163B9">
        <w:rPr>
          <w:rFonts w:ascii="Verdana" w:hAnsi="Verdana"/>
          <w:i/>
          <w:iCs/>
          <w:sz w:val="22"/>
          <w:szCs w:val="22"/>
        </w:rPr>
        <w:t>( )…”En sexto lugar, se dispondrá configurar un modelo de financiación que facilite la articulación de aportes y obtención de recursos que provengan de diferentes agentes públicos y/o privados con el objeto de lograr la sostenibilidad económica de la gestión ambiental del Páramo de Santurbán. Por ejemplo, el MADS podría adoptar incentivos de conservación ambiental como la promoción del ecoturismo, sistemas productivos sostenibles –biocomercio- o pago por servicio ambiental. La configuración de un esquema económico permitirá que se implementen de forma rápida los programas de sustitución y reconvención de actividades, al igual que se mejoren los servicios ambientales que ofrece el páramo”…( )</w:t>
      </w:r>
    </w:p>
    <w:p w:rsidRPr="00B163B9" w:rsidR="0076041F" w:rsidP="00F8766C" w:rsidRDefault="0076041F" w14:paraId="64871904" w14:textId="77777777">
      <w:pPr>
        <w:jc w:val="both"/>
        <w:rPr>
          <w:rFonts w:ascii="Verdana" w:hAnsi="Verdana"/>
          <w:sz w:val="22"/>
          <w:szCs w:val="22"/>
        </w:rPr>
      </w:pPr>
    </w:p>
    <w:p w:rsidRPr="00B163B9" w:rsidR="00F8766C" w:rsidP="00F8766C" w:rsidRDefault="00F8766C" w14:paraId="1E559348" w14:textId="52F636D8">
      <w:pPr>
        <w:jc w:val="both"/>
        <w:rPr>
          <w:rFonts w:ascii="Verdana" w:hAnsi="Verdana"/>
          <w:sz w:val="22"/>
          <w:szCs w:val="22"/>
        </w:rPr>
      </w:pPr>
      <w:r w:rsidRPr="00B163B9">
        <w:rPr>
          <w:rFonts w:ascii="Verdana" w:hAnsi="Verdana"/>
          <w:sz w:val="22"/>
          <w:szCs w:val="22"/>
        </w:rPr>
        <w:t xml:space="preserve">De acuerdo con la Sentencia T-361 de 2017, el modelo de financiación </w:t>
      </w:r>
      <w:r w:rsidRPr="00B163B9">
        <w:rPr>
          <w:rFonts w:ascii="Verdana" w:hAnsi="Verdana"/>
          <w:b/>
          <w:bCs/>
          <w:sz w:val="22"/>
          <w:szCs w:val="22"/>
        </w:rPr>
        <w:t>(ineludible 6)</w:t>
      </w:r>
      <w:r w:rsidRPr="00B163B9">
        <w:rPr>
          <w:rFonts w:ascii="Verdana" w:hAnsi="Verdana"/>
          <w:sz w:val="22"/>
          <w:szCs w:val="22"/>
        </w:rPr>
        <w:t xml:space="preserve"> debe facilitar la articulación para la obtención de recursos públicos y privados que conlleven a la sostenibilidad económica de la gestión ambiental del </w:t>
      </w:r>
      <w:r w:rsidRPr="00B163B9" w:rsidR="006A4D9C">
        <w:rPr>
          <w:rFonts w:ascii="Verdana" w:hAnsi="Verdana"/>
          <w:sz w:val="22"/>
          <w:szCs w:val="22"/>
        </w:rPr>
        <w:t xml:space="preserve">complejo de </w:t>
      </w:r>
      <w:r w:rsidRPr="00B163B9">
        <w:rPr>
          <w:rFonts w:ascii="Verdana" w:hAnsi="Verdana"/>
          <w:sz w:val="22"/>
          <w:szCs w:val="22"/>
        </w:rPr>
        <w:t>páramo</w:t>
      </w:r>
      <w:r w:rsidRPr="00B163B9" w:rsidR="006A4D9C">
        <w:rPr>
          <w:rFonts w:ascii="Verdana" w:hAnsi="Verdana"/>
          <w:sz w:val="22"/>
          <w:szCs w:val="22"/>
        </w:rPr>
        <w:t xml:space="preserve"> Jurisdicciones-Santurbán-Berlín (CPJSB)</w:t>
      </w:r>
      <w:r w:rsidRPr="00B163B9">
        <w:rPr>
          <w:rFonts w:ascii="Verdana" w:hAnsi="Verdana"/>
          <w:sz w:val="22"/>
          <w:szCs w:val="22"/>
        </w:rPr>
        <w:t>, por lo cual debe integrar información relevante de actores y fuentes de financiación, es decir la oferta institucional y privada de recursos financieros.</w:t>
      </w:r>
    </w:p>
    <w:p w:rsidRPr="00B163B9" w:rsidR="00F8766C" w:rsidP="00F8766C" w:rsidRDefault="0076041F" w14:paraId="75FC7859" w14:textId="26F802BF">
      <w:pPr>
        <w:jc w:val="both"/>
        <w:rPr>
          <w:rFonts w:ascii="Verdana" w:hAnsi="Verdana"/>
          <w:sz w:val="22"/>
          <w:szCs w:val="22"/>
        </w:rPr>
      </w:pPr>
      <w:r w:rsidRPr="00B163B9">
        <w:rPr>
          <w:rFonts w:ascii="Verdana" w:hAnsi="Verdana"/>
          <w:sz w:val="22"/>
          <w:szCs w:val="22"/>
        </w:rPr>
        <w:t>Es importante destacar, que l</w:t>
      </w:r>
      <w:r w:rsidRPr="00B163B9" w:rsidR="00F8766C">
        <w:rPr>
          <w:rFonts w:ascii="Verdana" w:hAnsi="Verdana"/>
          <w:sz w:val="22"/>
          <w:szCs w:val="22"/>
        </w:rPr>
        <w:t xml:space="preserve">a </w:t>
      </w:r>
      <w:r w:rsidRPr="00B163B9" w:rsidR="00F8766C">
        <w:rPr>
          <w:rFonts w:ascii="Verdana" w:hAnsi="Verdana"/>
          <w:b/>
          <w:bCs/>
          <w:sz w:val="22"/>
          <w:szCs w:val="22"/>
        </w:rPr>
        <w:t>Sentencia también establece que se deben adoptar incentivos de conservación: ecoturismo, sistemas productivos sostenibles y PSA dirigidos a la población ubicada dentro de las áreas de páramo</w:t>
      </w:r>
      <w:r w:rsidRPr="00B163B9" w:rsidR="00F8766C">
        <w:rPr>
          <w:rFonts w:ascii="Verdana" w:hAnsi="Verdana"/>
          <w:sz w:val="22"/>
          <w:szCs w:val="22"/>
        </w:rPr>
        <w:t>, los cuales deben enmarcarse en el consolidado de las necesidades financieras, es decir la demanda de recursos financieros.</w:t>
      </w:r>
    </w:p>
    <w:p w:rsidRPr="00B163B9" w:rsidR="0052768E" w:rsidP="0076041F" w:rsidRDefault="0076041F" w14:paraId="2563EAC4" w14:textId="053238A6">
      <w:pPr>
        <w:jc w:val="both"/>
        <w:rPr>
          <w:rFonts w:ascii="Verdana" w:hAnsi="Verdana"/>
          <w:sz w:val="22"/>
          <w:szCs w:val="22"/>
        </w:rPr>
      </w:pPr>
      <w:r w:rsidRPr="00B163B9">
        <w:rPr>
          <w:rFonts w:ascii="Verdana" w:hAnsi="Verdana"/>
          <w:sz w:val="22"/>
          <w:szCs w:val="22"/>
        </w:rPr>
        <w:t>La Sentencia T-361 de 2017 establece tres mandatos fundamentales que estructuran el presente modelo:</w:t>
      </w:r>
    </w:p>
    <w:p w:rsidRPr="00B163B9" w:rsidR="00AE5A74" w:rsidP="0076041F" w:rsidRDefault="0076041F" w14:paraId="71CABF6D" w14:textId="77777777">
      <w:pPr>
        <w:pStyle w:val="Prrafodelista"/>
        <w:numPr>
          <w:ilvl w:val="0"/>
          <w:numId w:val="15"/>
        </w:numPr>
        <w:jc w:val="both"/>
        <w:rPr>
          <w:rFonts w:ascii="Verdana" w:hAnsi="Verdana"/>
          <w:sz w:val="22"/>
          <w:szCs w:val="22"/>
        </w:rPr>
      </w:pPr>
      <w:r w:rsidRPr="00B163B9">
        <w:rPr>
          <w:rFonts w:ascii="Verdana" w:hAnsi="Verdana"/>
          <w:sz w:val="22"/>
          <w:szCs w:val="22"/>
        </w:rPr>
        <w:t>Articulación de actores y fuentes de financiación: El modelo debe facilitar la integración de aportes y la obtención de recursos provenientes de agentes públicos y privados, incluyendo no solo recursos financieros sino también humanos y capacidades institucionales.</w:t>
      </w:r>
    </w:p>
    <w:p w:rsidRPr="00B163B9" w:rsidR="00AE5A74" w:rsidP="0076041F" w:rsidRDefault="0076041F" w14:paraId="5AB39BE9" w14:textId="77777777">
      <w:pPr>
        <w:pStyle w:val="Prrafodelista"/>
        <w:numPr>
          <w:ilvl w:val="0"/>
          <w:numId w:val="15"/>
        </w:numPr>
        <w:jc w:val="both"/>
        <w:rPr>
          <w:rFonts w:ascii="Verdana" w:hAnsi="Verdana"/>
          <w:sz w:val="22"/>
          <w:szCs w:val="22"/>
        </w:rPr>
      </w:pPr>
      <w:r w:rsidRPr="00B163B9">
        <w:rPr>
          <w:rFonts w:ascii="Verdana" w:hAnsi="Verdana"/>
          <w:sz w:val="22"/>
          <w:szCs w:val="22"/>
        </w:rPr>
        <w:lastRenderedPageBreak/>
        <w:t>Adopción de incentivos de conservación: Se deben implementar mecanismos como el</w:t>
      </w:r>
      <w:r w:rsidRPr="00B163B9" w:rsidR="00AE5A74">
        <w:rPr>
          <w:rFonts w:ascii="Verdana" w:hAnsi="Verdana"/>
          <w:sz w:val="22"/>
          <w:szCs w:val="22"/>
        </w:rPr>
        <w:t xml:space="preserve"> </w:t>
      </w:r>
      <w:r w:rsidRPr="00B163B9">
        <w:rPr>
          <w:rFonts w:ascii="Verdana" w:hAnsi="Verdana"/>
          <w:sz w:val="22"/>
          <w:szCs w:val="22"/>
        </w:rPr>
        <w:t>ecoturismo, los sistemas productivos sostenibles (biocomercio) y los Pagos por Servicios Ambientales (PSA), dirigidos a la población ubicada dentro de las áreas de páramo.</w:t>
      </w:r>
    </w:p>
    <w:p w:rsidR="00F8766C" w:rsidP="0076041F" w:rsidRDefault="0076041F" w14:paraId="24F047F9" w14:textId="72B3EACE">
      <w:pPr>
        <w:pStyle w:val="Prrafodelista"/>
        <w:numPr>
          <w:ilvl w:val="0"/>
          <w:numId w:val="15"/>
        </w:numPr>
        <w:jc w:val="both"/>
        <w:rPr>
          <w:rFonts w:ascii="Verdana" w:hAnsi="Verdana"/>
          <w:sz w:val="22"/>
          <w:szCs w:val="22"/>
        </w:rPr>
      </w:pPr>
      <w:r w:rsidRPr="00B163B9">
        <w:rPr>
          <w:rFonts w:ascii="Verdana" w:hAnsi="Verdana"/>
          <w:sz w:val="22"/>
          <w:szCs w:val="22"/>
        </w:rPr>
        <w:t xml:space="preserve">Priorización de la reconversión y sustitución productiva: El modelo debe propender por </w:t>
      </w:r>
      <w:r w:rsidRPr="00B163B9" w:rsidR="00AE5A74">
        <w:rPr>
          <w:rFonts w:ascii="Verdana" w:hAnsi="Verdana"/>
          <w:sz w:val="22"/>
          <w:szCs w:val="22"/>
        </w:rPr>
        <w:t>l</w:t>
      </w:r>
      <w:r w:rsidRPr="00B163B9">
        <w:rPr>
          <w:rFonts w:ascii="Verdana" w:hAnsi="Verdana"/>
          <w:sz w:val="22"/>
          <w:szCs w:val="22"/>
        </w:rPr>
        <w:t>a implementación rápida de programas de sustitución y reconversión de actividades, reconociendo el mandato del "tema ineludible 2" de la sentencia.</w:t>
      </w:r>
    </w:p>
    <w:p w:rsidRPr="00B163B9" w:rsidR="0052768E" w:rsidP="0052768E" w:rsidRDefault="0052768E" w14:paraId="7B43CB02" w14:textId="77777777">
      <w:pPr>
        <w:pStyle w:val="Prrafodelista"/>
        <w:jc w:val="both"/>
        <w:rPr>
          <w:rFonts w:ascii="Verdana" w:hAnsi="Verdana"/>
          <w:sz w:val="22"/>
          <w:szCs w:val="22"/>
        </w:rPr>
      </w:pPr>
    </w:p>
    <w:p w:rsidRPr="00B163B9" w:rsidR="00AE5A74" w:rsidP="00AE5A74" w:rsidRDefault="00AE5A74" w14:paraId="379189E1" w14:textId="2C4F6E57">
      <w:pPr>
        <w:jc w:val="both"/>
        <w:rPr>
          <w:rFonts w:ascii="Verdana" w:hAnsi="Verdana"/>
          <w:sz w:val="22"/>
          <w:szCs w:val="22"/>
        </w:rPr>
      </w:pPr>
      <w:r w:rsidRPr="00B163B9">
        <w:rPr>
          <w:rFonts w:ascii="Verdana" w:hAnsi="Verdana"/>
          <w:sz w:val="22"/>
          <w:szCs w:val="22"/>
        </w:rPr>
        <w:t xml:space="preserve">Así mismo después de la sentencia T-361 de 2017, se promulgó la </w:t>
      </w:r>
      <w:r w:rsidRPr="00B163B9">
        <w:rPr>
          <w:rFonts w:ascii="Verdana" w:hAnsi="Verdana"/>
          <w:b/>
          <w:bCs/>
          <w:sz w:val="22"/>
          <w:szCs w:val="22"/>
        </w:rPr>
        <w:t>Ley 1930 de 2018</w:t>
      </w:r>
      <w:r w:rsidRPr="00B163B9">
        <w:rPr>
          <w:rFonts w:ascii="Verdana" w:hAnsi="Verdana"/>
          <w:sz w:val="22"/>
          <w:szCs w:val="22"/>
        </w:rPr>
        <w:t xml:space="preserve"> en el marco legal general para la gestión integral de todos los páramos del país, que incluye el concepto de actividades productivas de bajo impacto en páramos. Su reglamentación, liderada por los Ministerios de Ambiente y Desarrollo Sostenible y de Agricultura y Desarrollo Rural, se ha materializado en:</w:t>
      </w:r>
    </w:p>
    <w:p w:rsidRPr="00B163B9" w:rsidR="00AE5A74" w:rsidP="00AE5A74" w:rsidRDefault="00AE5A74" w14:paraId="4EF62B95" w14:textId="77777777">
      <w:pPr>
        <w:pStyle w:val="Prrafodelista"/>
        <w:numPr>
          <w:ilvl w:val="0"/>
          <w:numId w:val="16"/>
        </w:numPr>
        <w:jc w:val="both"/>
        <w:rPr>
          <w:rFonts w:ascii="Verdana" w:hAnsi="Verdana"/>
          <w:sz w:val="22"/>
          <w:szCs w:val="22"/>
        </w:rPr>
      </w:pPr>
      <w:r w:rsidRPr="00B163B9">
        <w:rPr>
          <w:rFonts w:ascii="Verdana" w:hAnsi="Verdana"/>
          <w:b/>
          <w:bCs/>
          <w:sz w:val="22"/>
          <w:szCs w:val="22"/>
        </w:rPr>
        <w:t>Resolución 1294 de 2021</w:t>
      </w:r>
      <w:r w:rsidRPr="00B163B9">
        <w:rPr>
          <w:rFonts w:ascii="Verdana" w:hAnsi="Verdana"/>
          <w:sz w:val="22"/>
          <w:szCs w:val="22"/>
        </w:rPr>
        <w:t>: Lineamientos para el desarrollo de actividades de bajo impacto.</w:t>
      </w:r>
    </w:p>
    <w:p w:rsidRPr="00B163B9" w:rsidR="00AE5A74" w:rsidP="00AE5A74" w:rsidRDefault="00AE5A74" w14:paraId="721EB6D2" w14:textId="77777777">
      <w:pPr>
        <w:pStyle w:val="Prrafodelista"/>
        <w:numPr>
          <w:ilvl w:val="0"/>
          <w:numId w:val="16"/>
        </w:numPr>
        <w:jc w:val="both"/>
        <w:rPr>
          <w:rFonts w:ascii="Verdana" w:hAnsi="Verdana"/>
          <w:sz w:val="22"/>
          <w:szCs w:val="22"/>
        </w:rPr>
      </w:pPr>
      <w:r w:rsidRPr="00B163B9">
        <w:rPr>
          <w:rFonts w:ascii="Verdana" w:hAnsi="Verdana"/>
          <w:b/>
          <w:bCs/>
          <w:i/>
          <w:iCs/>
          <w:sz w:val="22"/>
          <w:szCs w:val="22"/>
        </w:rPr>
        <w:t>Resolución 0294 de 2022</w:t>
      </w:r>
      <w:r w:rsidRPr="00B163B9">
        <w:rPr>
          <w:rFonts w:ascii="Verdana" w:hAnsi="Verdana"/>
          <w:sz w:val="22"/>
          <w:szCs w:val="22"/>
        </w:rPr>
        <w:t>: Lineamientos para la formulación e implementación de programas de reconversión agropecuaria.</w:t>
      </w:r>
    </w:p>
    <w:p w:rsidR="00AE5A74" w:rsidP="00AE5A74" w:rsidRDefault="00AE5A74" w14:paraId="23531FCD" w14:textId="06E53296">
      <w:pPr>
        <w:pStyle w:val="Prrafodelista"/>
        <w:numPr>
          <w:ilvl w:val="0"/>
          <w:numId w:val="16"/>
        </w:numPr>
        <w:jc w:val="both"/>
        <w:rPr>
          <w:rFonts w:ascii="Verdana" w:hAnsi="Verdana"/>
          <w:sz w:val="22"/>
          <w:szCs w:val="22"/>
        </w:rPr>
      </w:pPr>
      <w:r w:rsidRPr="00B163B9">
        <w:rPr>
          <w:rFonts w:ascii="Verdana" w:hAnsi="Verdana"/>
          <w:b/>
          <w:bCs/>
          <w:sz w:val="22"/>
          <w:szCs w:val="22"/>
        </w:rPr>
        <w:t>Resolución 160 de 2026</w:t>
      </w:r>
      <w:r w:rsidRPr="00B163B9">
        <w:rPr>
          <w:rFonts w:ascii="Verdana" w:hAnsi="Verdana"/>
          <w:sz w:val="22"/>
          <w:szCs w:val="22"/>
        </w:rPr>
        <w:t>: Metodología para la determinación del bajo impacto en páramos.</w:t>
      </w:r>
    </w:p>
    <w:p w:rsidRPr="00C75E01" w:rsidR="00C75E01" w:rsidP="00C75E01" w:rsidRDefault="00C75E01" w14:paraId="21D26981" w14:textId="77777777">
      <w:pPr>
        <w:pStyle w:val="Prrafodelista"/>
        <w:jc w:val="both"/>
        <w:rPr>
          <w:rFonts w:ascii="Verdana" w:hAnsi="Verdana"/>
          <w:sz w:val="22"/>
          <w:szCs w:val="22"/>
        </w:rPr>
      </w:pPr>
    </w:p>
    <w:p w:rsidR="00AE5A74" w:rsidP="00C75E01" w:rsidRDefault="00AE5A74" w14:paraId="29F4C32E" w14:textId="7B46B14B">
      <w:pPr>
        <w:pStyle w:val="Estilo4"/>
      </w:pPr>
      <w:bookmarkStart w:name="_Toc234617860" w:id="4"/>
      <w:bookmarkStart w:name="_Toc234618987" w:id="5"/>
      <w:r w:rsidRPr="00B163B9">
        <w:t>Alcance y Articulación con la Gobernanza del Páramo</w:t>
      </w:r>
      <w:bookmarkEnd w:id="4"/>
      <w:bookmarkEnd w:id="5"/>
    </w:p>
    <w:p w:rsidRPr="00B163B9" w:rsidR="00C75E01" w:rsidP="00C75E01" w:rsidRDefault="00C75E01" w14:paraId="620C76F7" w14:textId="77777777">
      <w:pPr>
        <w:pStyle w:val="Estilo4"/>
        <w:numPr>
          <w:ilvl w:val="0"/>
          <w:numId w:val="0"/>
        </w:numPr>
      </w:pPr>
    </w:p>
    <w:p w:rsidR="00EF6A61" w:rsidP="00AE5A74" w:rsidRDefault="0030375E" w14:paraId="5F939B4C" w14:textId="72CFF466">
      <w:pPr>
        <w:jc w:val="both"/>
        <w:rPr>
          <w:rFonts w:ascii="Verdana" w:hAnsi="Verdana"/>
          <w:sz w:val="22"/>
          <w:szCs w:val="22"/>
        </w:rPr>
      </w:pPr>
      <w:r w:rsidRPr="0030375E">
        <w:rPr>
          <w:rFonts w:ascii="Verdana" w:hAnsi="Verdana"/>
          <w:sz w:val="22"/>
          <w:szCs w:val="22"/>
        </w:rPr>
        <w:t>De otra parte, el modelo de financiación, junto con la instancia de coordinación y el sistema de fiscalización hacen parte del componente que se ha denominado de gobernanza en el proceso de delimitación del páramo, considerando que los tres de manera conjunta deben garantizar la participación efectiva de las comunidades en la toma de decisiones asociadas al proceso de implementación de la delimitación</w:t>
      </w:r>
      <w:r>
        <w:rPr>
          <w:rFonts w:ascii="Verdana" w:hAnsi="Verdana"/>
          <w:sz w:val="22"/>
          <w:szCs w:val="22"/>
        </w:rPr>
        <w:t xml:space="preserve">. </w:t>
      </w:r>
      <w:r w:rsidRPr="00B163B9" w:rsidR="002E1EC9">
        <w:rPr>
          <w:rFonts w:ascii="Verdana" w:hAnsi="Verdana"/>
          <w:i/>
          <w:iCs/>
          <w:sz w:val="22"/>
          <w:szCs w:val="22"/>
        </w:rPr>
        <w:t>(</w:t>
      </w:r>
      <w:r w:rsidRPr="007C2539" w:rsidR="00CE6005">
        <w:rPr>
          <w:rFonts w:ascii="Verdana" w:hAnsi="Verdana"/>
          <w:i/>
          <w:iCs/>
          <w:sz w:val="22"/>
          <w:szCs w:val="22"/>
        </w:rPr>
        <w:t>Ilustración</w:t>
      </w:r>
      <w:r w:rsidRPr="007C2539" w:rsidR="002E1EC9">
        <w:rPr>
          <w:rFonts w:ascii="Verdana" w:hAnsi="Verdana"/>
          <w:i/>
          <w:iCs/>
          <w:sz w:val="22"/>
          <w:szCs w:val="22"/>
        </w:rPr>
        <w:t xml:space="preserve"> 1</w:t>
      </w:r>
      <w:r w:rsidRPr="00B163B9" w:rsidR="002E1EC9">
        <w:rPr>
          <w:rFonts w:ascii="Verdana" w:hAnsi="Verdana"/>
          <w:i/>
          <w:iCs/>
          <w:sz w:val="22"/>
          <w:szCs w:val="22"/>
        </w:rPr>
        <w:t>)</w:t>
      </w:r>
      <w:r w:rsidRPr="00B163B9" w:rsidR="00AE5A74">
        <w:rPr>
          <w:rFonts w:ascii="Verdana" w:hAnsi="Verdana"/>
          <w:sz w:val="22"/>
          <w:szCs w:val="22"/>
        </w:rPr>
        <w:t xml:space="preserve"> </w:t>
      </w:r>
    </w:p>
    <w:p w:rsidR="0052768E" w:rsidP="00AE5A74" w:rsidRDefault="0052768E" w14:paraId="2EDFE3D1" w14:textId="77777777">
      <w:pPr>
        <w:jc w:val="both"/>
        <w:rPr>
          <w:rFonts w:ascii="Verdana" w:hAnsi="Verdana"/>
          <w:sz w:val="22"/>
          <w:szCs w:val="22"/>
        </w:rPr>
      </w:pPr>
    </w:p>
    <w:p w:rsidRPr="00B6371E" w:rsidR="0030375E" w:rsidP="00EF6A61" w:rsidRDefault="00B6371E" w14:paraId="4A1E3154" w14:textId="470A1DB9">
      <w:pPr>
        <w:pStyle w:val="Descripcin"/>
        <w:jc w:val="center"/>
        <w:rPr>
          <w:rFonts w:ascii="Verdana" w:hAnsi="Verdana"/>
          <w:sz w:val="18"/>
          <w:szCs w:val="18"/>
        </w:rPr>
      </w:pPr>
      <w:bookmarkStart w:name="_Toc234617632" w:id="6"/>
      <w:bookmarkStart w:name="_Toc234617740" w:id="7"/>
      <w:bookmarkStart w:name="_Toc234617938" w:id="8"/>
      <w:bookmarkStart w:name="_Toc234618838" w:id="9"/>
      <w:r w:rsidRPr="00B6371E">
        <w:rPr>
          <w:rFonts w:ascii="Verdana" w:hAnsi="Verdana"/>
          <w:sz w:val="18"/>
          <w:szCs w:val="18"/>
        </w:rPr>
        <w:t xml:space="preserve">ILUSTRACIÓN </w:t>
      </w:r>
      <w:r w:rsidRPr="00B6371E" w:rsidR="00EF6A61">
        <w:rPr>
          <w:rFonts w:ascii="Verdana" w:hAnsi="Verdana"/>
          <w:sz w:val="18"/>
          <w:szCs w:val="18"/>
        </w:rPr>
        <w:fldChar w:fldCharType="begin"/>
      </w:r>
      <w:r w:rsidRPr="00B6371E" w:rsidR="00EF6A61">
        <w:rPr>
          <w:rFonts w:ascii="Verdana" w:hAnsi="Verdana"/>
          <w:sz w:val="18"/>
          <w:szCs w:val="18"/>
        </w:rPr>
        <w:instrText xml:space="preserve"> SEQ Ilustración \* ARABIC </w:instrText>
      </w:r>
      <w:r w:rsidRPr="00B6371E" w:rsidR="00EF6A61">
        <w:rPr>
          <w:rFonts w:ascii="Verdana" w:hAnsi="Verdana"/>
          <w:sz w:val="18"/>
          <w:szCs w:val="18"/>
        </w:rPr>
        <w:fldChar w:fldCharType="separate"/>
      </w:r>
      <w:r w:rsidRPr="00B6371E">
        <w:rPr>
          <w:rFonts w:ascii="Verdana" w:hAnsi="Verdana"/>
          <w:noProof/>
          <w:sz w:val="18"/>
          <w:szCs w:val="18"/>
        </w:rPr>
        <w:t>1</w:t>
      </w:r>
      <w:r w:rsidRPr="00B6371E" w:rsidR="00EF6A61">
        <w:rPr>
          <w:rFonts w:ascii="Verdana" w:hAnsi="Verdana"/>
          <w:sz w:val="18"/>
          <w:szCs w:val="18"/>
        </w:rPr>
        <w:fldChar w:fldCharType="end"/>
      </w:r>
      <w:r w:rsidRPr="00B6371E">
        <w:rPr>
          <w:rFonts w:ascii="Verdana" w:hAnsi="Verdana"/>
          <w:sz w:val="18"/>
          <w:szCs w:val="18"/>
        </w:rPr>
        <w:t>. TEMAS DE DIÁLOGO INELUDIBLES, SENTENCIA T-361 DE 2017</w:t>
      </w:r>
      <w:bookmarkEnd w:id="6"/>
      <w:bookmarkEnd w:id="7"/>
      <w:bookmarkEnd w:id="8"/>
      <w:bookmarkEnd w:id="9"/>
    </w:p>
    <w:p w:rsidRPr="00B163B9" w:rsidR="005F0454" w:rsidP="005F0454" w:rsidRDefault="005F0454" w14:paraId="2C7220FD" w14:textId="0F248369">
      <w:pPr>
        <w:jc w:val="center"/>
        <w:rPr>
          <w:rFonts w:ascii="Verdana" w:hAnsi="Verdana"/>
          <w:sz w:val="22"/>
          <w:szCs w:val="22"/>
        </w:rPr>
      </w:pPr>
      <w:r w:rsidRPr="00B163B9">
        <w:rPr>
          <w:rFonts w:ascii="Verdana" w:hAnsi="Verdana"/>
          <w:noProof/>
          <w:sz w:val="22"/>
          <w:szCs w:val="22"/>
        </w:rPr>
        <w:lastRenderedPageBreak/>
        <w:drawing>
          <wp:inline distT="0" distB="0" distL="0" distR="0" wp14:anchorId="3F38E56E" wp14:editId="05991298">
            <wp:extent cx="4747841" cy="267208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70850" cy="2685029"/>
                    </a:xfrm>
                    <a:prstGeom prst="rect">
                      <a:avLst/>
                    </a:prstGeom>
                    <a:noFill/>
                  </pic:spPr>
                </pic:pic>
              </a:graphicData>
            </a:graphic>
          </wp:inline>
        </w:drawing>
      </w:r>
    </w:p>
    <w:p w:rsidRPr="00B6371E" w:rsidR="0030375E" w:rsidP="00B6371E" w:rsidRDefault="002E1EC9" w14:paraId="12B2DA80" w14:textId="10D8C432">
      <w:pPr>
        <w:jc w:val="center"/>
        <w:rPr>
          <w:rFonts w:ascii="Verdana" w:hAnsi="Verdana"/>
          <w:i/>
          <w:iCs/>
          <w:sz w:val="18"/>
          <w:szCs w:val="18"/>
        </w:rPr>
      </w:pPr>
      <w:r w:rsidRPr="00B6371E">
        <w:rPr>
          <w:rFonts w:ascii="Verdana" w:hAnsi="Verdana"/>
          <w:i/>
          <w:iCs/>
          <w:sz w:val="18"/>
          <w:szCs w:val="18"/>
        </w:rPr>
        <w:t>Fuente: MADS</w:t>
      </w:r>
    </w:p>
    <w:p w:rsidRPr="00B163B9" w:rsidR="005F0454" w:rsidP="005F0454" w:rsidRDefault="00AE5A74" w14:paraId="445801E0" w14:textId="77777777">
      <w:pPr>
        <w:pStyle w:val="Prrafodelista"/>
        <w:numPr>
          <w:ilvl w:val="0"/>
          <w:numId w:val="17"/>
        </w:numPr>
        <w:jc w:val="both"/>
        <w:rPr>
          <w:rFonts w:ascii="Verdana" w:hAnsi="Verdana"/>
          <w:sz w:val="22"/>
          <w:szCs w:val="22"/>
        </w:rPr>
      </w:pPr>
      <w:r w:rsidRPr="00B163B9">
        <w:rPr>
          <w:rFonts w:ascii="Verdana" w:hAnsi="Verdana"/>
          <w:b/>
          <w:bCs/>
          <w:sz w:val="22"/>
          <w:szCs w:val="22"/>
        </w:rPr>
        <w:t>La instancia de coordinación</w:t>
      </w:r>
      <w:r w:rsidRPr="00B163B9">
        <w:rPr>
          <w:rFonts w:ascii="Verdana" w:hAnsi="Verdana"/>
          <w:sz w:val="22"/>
          <w:szCs w:val="22"/>
        </w:rPr>
        <w:t xml:space="preserve">, </w:t>
      </w:r>
      <w:r w:rsidRPr="00B163B9" w:rsidR="005F0454">
        <w:rPr>
          <w:rFonts w:ascii="Verdana" w:hAnsi="Verdana"/>
          <w:sz w:val="22"/>
          <w:szCs w:val="22"/>
        </w:rPr>
        <w:t>que articula a los diferentes actores que gestionarán el páramo de Santurbán y el cumplimiento de los compromisos que quedan en la resolución de Delimitación.</w:t>
      </w:r>
    </w:p>
    <w:p w:rsidRPr="00B163B9" w:rsidR="005F0454" w:rsidP="005F0454" w:rsidRDefault="005F0454" w14:paraId="7B9726AF" w14:textId="25EB0628">
      <w:pPr>
        <w:pStyle w:val="Prrafodelista"/>
        <w:jc w:val="both"/>
        <w:rPr>
          <w:rFonts w:ascii="Verdana" w:hAnsi="Verdana"/>
          <w:sz w:val="22"/>
          <w:szCs w:val="22"/>
        </w:rPr>
      </w:pPr>
      <w:r w:rsidRPr="00B163B9">
        <w:rPr>
          <w:rFonts w:ascii="Verdana" w:hAnsi="Verdana"/>
          <w:sz w:val="22"/>
          <w:szCs w:val="22"/>
        </w:rPr>
        <w:t>La instancia de Coordinación tiene integrantes a escala local, regional y</w:t>
      </w:r>
    </w:p>
    <w:p w:rsidRPr="00B163B9" w:rsidR="005F0454" w:rsidP="005F0454" w:rsidRDefault="005F0454" w14:paraId="70B3F557" w14:textId="77777777">
      <w:pPr>
        <w:pStyle w:val="Prrafodelista"/>
        <w:jc w:val="both"/>
        <w:rPr>
          <w:rFonts w:ascii="Verdana" w:hAnsi="Verdana"/>
          <w:sz w:val="22"/>
          <w:szCs w:val="22"/>
        </w:rPr>
      </w:pPr>
      <w:r w:rsidRPr="00B163B9">
        <w:rPr>
          <w:rFonts w:ascii="Verdana" w:hAnsi="Verdana"/>
          <w:sz w:val="22"/>
          <w:szCs w:val="22"/>
        </w:rPr>
        <w:t>nacional, para contar con representatividad de actores que incidan en las</w:t>
      </w:r>
    </w:p>
    <w:p w:rsidRPr="00B163B9" w:rsidR="005F0454" w:rsidP="005F0454" w:rsidRDefault="005F0454" w14:paraId="663EBF98" w14:textId="7712DB80">
      <w:pPr>
        <w:pStyle w:val="Prrafodelista"/>
        <w:jc w:val="both"/>
        <w:rPr>
          <w:rFonts w:ascii="Verdana" w:hAnsi="Verdana"/>
          <w:sz w:val="22"/>
          <w:szCs w:val="22"/>
        </w:rPr>
      </w:pPr>
      <w:r w:rsidRPr="00B163B9">
        <w:rPr>
          <w:rFonts w:ascii="Verdana" w:hAnsi="Verdana"/>
          <w:sz w:val="22"/>
          <w:szCs w:val="22"/>
        </w:rPr>
        <w:t>decisiones de conservación del páramo.</w:t>
      </w:r>
    </w:p>
    <w:p w:rsidRPr="00B163B9" w:rsidR="005F0454" w:rsidP="005F0454" w:rsidRDefault="005F0454" w14:paraId="297BBA68" w14:textId="77777777">
      <w:pPr>
        <w:pStyle w:val="Prrafodelista"/>
        <w:jc w:val="both"/>
        <w:rPr>
          <w:rFonts w:ascii="Verdana" w:hAnsi="Verdana"/>
          <w:sz w:val="22"/>
          <w:szCs w:val="22"/>
        </w:rPr>
      </w:pPr>
    </w:p>
    <w:p w:rsidRPr="00B163B9" w:rsidR="005F0454" w:rsidP="005F0454" w:rsidRDefault="00AE5A74" w14:paraId="2BF3D8F8" w14:textId="02342839">
      <w:pPr>
        <w:pStyle w:val="Prrafodelista"/>
        <w:numPr>
          <w:ilvl w:val="0"/>
          <w:numId w:val="17"/>
        </w:numPr>
        <w:jc w:val="both"/>
        <w:rPr>
          <w:rFonts w:ascii="Verdana" w:hAnsi="Verdana"/>
          <w:sz w:val="22"/>
          <w:szCs w:val="22"/>
        </w:rPr>
      </w:pPr>
      <w:r w:rsidRPr="00B163B9">
        <w:rPr>
          <w:rFonts w:ascii="Verdana" w:hAnsi="Verdana"/>
          <w:b/>
          <w:bCs/>
          <w:sz w:val="22"/>
          <w:szCs w:val="22"/>
        </w:rPr>
        <w:t>El sistema de fiscalización</w:t>
      </w:r>
      <w:r w:rsidRPr="00B163B9">
        <w:rPr>
          <w:rFonts w:ascii="Verdana" w:hAnsi="Verdana"/>
          <w:sz w:val="22"/>
          <w:szCs w:val="22"/>
        </w:rPr>
        <w:t>,</w:t>
      </w:r>
      <w:r w:rsidRPr="00B163B9" w:rsidR="005F0454">
        <w:rPr>
          <w:rFonts w:ascii="Verdana" w:hAnsi="Verdana"/>
          <w:sz w:val="22"/>
          <w:szCs w:val="22"/>
        </w:rPr>
        <w:t xml:space="preserve"> se propone como un frente común de actores fiscalizadores, regidos por un conjunto de principios y deberes, y dinamizado por unos mecanismos de acción y coordinación.</w:t>
      </w:r>
    </w:p>
    <w:p w:rsidRPr="00B163B9" w:rsidR="005F0454" w:rsidP="0052768E" w:rsidRDefault="005F0454" w14:paraId="47992072" w14:textId="5E339F04">
      <w:pPr>
        <w:pStyle w:val="Prrafodelista"/>
        <w:jc w:val="both"/>
        <w:rPr>
          <w:rFonts w:ascii="Verdana" w:hAnsi="Verdana"/>
          <w:sz w:val="22"/>
          <w:szCs w:val="22"/>
        </w:rPr>
      </w:pPr>
      <w:r w:rsidRPr="00B163B9">
        <w:rPr>
          <w:rFonts w:ascii="Verdana" w:hAnsi="Verdana"/>
          <w:sz w:val="22"/>
          <w:szCs w:val="22"/>
        </w:rPr>
        <w:t>El Sistema funciona en la medida en que se articulen esos elementos a través de fortalecer las capacidades de los actores, propiciar el intercambio de información y experiencias, y generar formas de hacer comunes en cuanto al ejercicio de la vigilancia, control y seguimiento ambiental</w:t>
      </w:r>
      <w:r w:rsidRPr="00B163B9" w:rsidR="00AE5A74">
        <w:rPr>
          <w:rFonts w:ascii="Verdana" w:hAnsi="Verdana"/>
          <w:sz w:val="22"/>
          <w:szCs w:val="22"/>
        </w:rPr>
        <w:t xml:space="preserve"> </w:t>
      </w:r>
    </w:p>
    <w:p w:rsidRPr="00B163B9" w:rsidR="00AE5A74" w:rsidP="00AE5A74" w:rsidRDefault="00AE5A74" w14:paraId="7C996D8C" w14:textId="7C140B78">
      <w:pPr>
        <w:jc w:val="both"/>
        <w:rPr>
          <w:rFonts w:ascii="Verdana" w:hAnsi="Verdana"/>
          <w:sz w:val="22"/>
          <w:szCs w:val="22"/>
        </w:rPr>
      </w:pPr>
      <w:r w:rsidRPr="00B163B9">
        <w:rPr>
          <w:rFonts w:ascii="Verdana" w:hAnsi="Verdana"/>
          <w:sz w:val="22"/>
          <w:szCs w:val="22"/>
        </w:rPr>
        <w:t>Los tres elementos, de manera conjunta, garantizan la participación efectiva de las</w:t>
      </w:r>
      <w:r w:rsidRPr="00B163B9" w:rsidR="005F0454">
        <w:rPr>
          <w:rFonts w:ascii="Verdana" w:hAnsi="Verdana"/>
          <w:sz w:val="22"/>
          <w:szCs w:val="22"/>
        </w:rPr>
        <w:t xml:space="preserve"> </w:t>
      </w:r>
      <w:r w:rsidRPr="00B163B9">
        <w:rPr>
          <w:rFonts w:ascii="Verdana" w:hAnsi="Verdana"/>
          <w:sz w:val="22"/>
          <w:szCs w:val="22"/>
        </w:rPr>
        <w:t>comunidades en la toma de decisiones asociadas al proceso de implementación de la delimitación</w:t>
      </w:r>
      <w:r w:rsidRPr="00B163B9" w:rsidR="005F0454">
        <w:rPr>
          <w:rFonts w:ascii="Verdana" w:hAnsi="Verdana"/>
          <w:sz w:val="22"/>
          <w:szCs w:val="22"/>
        </w:rPr>
        <w:t xml:space="preserve"> </w:t>
      </w:r>
      <w:r w:rsidRPr="00B163B9" w:rsidR="006A4D9C">
        <w:rPr>
          <w:rFonts w:ascii="Verdana" w:hAnsi="Verdana"/>
          <w:sz w:val="22"/>
          <w:szCs w:val="22"/>
        </w:rPr>
        <w:t>del CPJSB</w:t>
      </w:r>
    </w:p>
    <w:p w:rsidRPr="00B163B9" w:rsidR="006A4D9C" w:rsidP="00AE5A74" w:rsidRDefault="00AE5A74" w14:paraId="0557FBE4" w14:textId="24858B6B">
      <w:pPr>
        <w:jc w:val="both"/>
        <w:rPr>
          <w:rFonts w:ascii="Verdana" w:hAnsi="Verdana"/>
          <w:sz w:val="22"/>
          <w:szCs w:val="22"/>
        </w:rPr>
      </w:pPr>
      <w:r w:rsidRPr="00B163B9">
        <w:rPr>
          <w:rFonts w:ascii="Verdana" w:hAnsi="Verdana"/>
          <w:sz w:val="22"/>
          <w:szCs w:val="22"/>
        </w:rPr>
        <w:t>Asimismo, si bien no se menciona explícitamente en la Sentencia T-361 de 2017, el "</w:t>
      </w:r>
      <w:r w:rsidRPr="00B163B9">
        <w:rPr>
          <w:rFonts w:ascii="Verdana" w:hAnsi="Verdana"/>
          <w:b/>
          <w:bCs/>
          <w:sz w:val="22"/>
          <w:szCs w:val="22"/>
        </w:rPr>
        <w:t>tema ineludible 4</w:t>
      </w:r>
      <w:r w:rsidRPr="00B163B9">
        <w:rPr>
          <w:rFonts w:ascii="Verdana" w:hAnsi="Verdana"/>
          <w:sz w:val="22"/>
          <w:szCs w:val="22"/>
        </w:rPr>
        <w:t>", referido a los parámetros de protección de las fuentes hídricas, se integra como un componente prioritario del modelo de financiación, dada su relevancia para la oferta de servicios ecosistémicos</w:t>
      </w:r>
      <w:r w:rsidRPr="00B163B9" w:rsidR="006A4D9C">
        <w:rPr>
          <w:rFonts w:ascii="Verdana" w:hAnsi="Verdana"/>
          <w:sz w:val="22"/>
          <w:szCs w:val="22"/>
        </w:rPr>
        <w:t xml:space="preserve"> del CPJSB.</w:t>
      </w:r>
    </w:p>
    <w:p w:rsidR="00AE5A74" w:rsidP="4DB08123" w:rsidRDefault="00AE5A74" w14:paraId="5AF68E7C" w14:textId="3EF16C48">
      <w:pPr>
        <w:pStyle w:val="Estilo3"/>
        <w:rPr>
          <w:b w:val="1"/>
          <w:bCs w:val="1"/>
        </w:rPr>
      </w:pPr>
      <w:bookmarkStart w:name="_Toc234617861" w:id="10"/>
      <w:bookmarkStart w:name="_Toc234618988" w:id="11"/>
      <w:r w:rsidRPr="4DB08123" w:rsidR="3745C34B">
        <w:rPr>
          <w:b w:val="1"/>
          <w:bCs w:val="1"/>
        </w:rPr>
        <w:t>DIAGNÓSTICO</w:t>
      </w:r>
      <w:bookmarkEnd w:id="10"/>
      <w:bookmarkEnd w:id="11"/>
      <w:r w:rsidRPr="4DB08123" w:rsidR="3745C34B">
        <w:rPr>
          <w:b w:val="1"/>
          <w:bCs w:val="1"/>
        </w:rPr>
        <w:t xml:space="preserve"> </w:t>
      </w:r>
    </w:p>
    <w:p w:rsidRPr="00C75E01" w:rsidR="00FF4C7B" w:rsidP="00C75E01" w:rsidRDefault="00FF4C7B" w14:paraId="4ED3D8A7" w14:textId="77777777">
      <w:pPr>
        <w:ind w:left="360"/>
        <w:jc w:val="both"/>
        <w:rPr>
          <w:rFonts w:ascii="Verdana" w:hAnsi="Verdana"/>
          <w:b/>
          <w:bCs/>
          <w:sz w:val="22"/>
          <w:szCs w:val="22"/>
        </w:rPr>
      </w:pPr>
    </w:p>
    <w:p w:rsidR="0030375E" w:rsidP="00C75E01" w:rsidRDefault="0030375E" w14:paraId="2C1B0309" w14:textId="4F6ADA2B">
      <w:pPr>
        <w:pStyle w:val="Estilo4"/>
      </w:pPr>
      <w:bookmarkStart w:name="_Toc234617862" w:id="12"/>
      <w:bookmarkStart w:name="_Toc234618989" w:id="13"/>
      <w:r w:rsidRPr="0030375E">
        <w:t>Actores y fuentes de financiación.</w:t>
      </w:r>
      <w:bookmarkEnd w:id="12"/>
      <w:bookmarkEnd w:id="13"/>
    </w:p>
    <w:p w:rsidR="00C75E01" w:rsidP="00C75E01" w:rsidRDefault="00C75E01" w14:paraId="51407717" w14:textId="77777777">
      <w:pPr>
        <w:pStyle w:val="Estilo4"/>
        <w:numPr>
          <w:ilvl w:val="0"/>
          <w:numId w:val="0"/>
        </w:numPr>
        <w:ind w:left="1440"/>
      </w:pPr>
    </w:p>
    <w:p w:rsidRPr="0030375E" w:rsidR="0030375E" w:rsidP="0030375E" w:rsidRDefault="0030375E" w14:paraId="610CAF1F" w14:textId="77777777">
      <w:pPr>
        <w:jc w:val="both"/>
        <w:rPr>
          <w:rFonts w:ascii="Verdana" w:hAnsi="Verdana"/>
          <w:sz w:val="22"/>
          <w:szCs w:val="22"/>
        </w:rPr>
      </w:pPr>
      <w:r w:rsidRPr="0030375E">
        <w:rPr>
          <w:rFonts w:ascii="Verdana" w:hAnsi="Verdana"/>
          <w:sz w:val="22"/>
          <w:szCs w:val="22"/>
        </w:rPr>
        <w:t>La sentencia T-361 de 2017, establece que el modelo de financiación debe facilitar la articulación de aportes y obtención de recursos de diferentes actores públicos y privados; dentro de los actores públicos no solo están las entidades del sector ambiental, también están, las entidades del sector agropecuario y minero que tienen responsabilidades, especialmente en la reconversión y sustitución de las actividades productivas que van a ser prohibidas; así como el sector privado, que se beneficia de los servicios ecosistémicos del páramo.</w:t>
      </w:r>
    </w:p>
    <w:p w:rsidR="0030375E" w:rsidP="0030375E" w:rsidRDefault="0030375E" w14:paraId="6F446577" w14:textId="3C5D434C">
      <w:pPr>
        <w:jc w:val="both"/>
        <w:rPr>
          <w:rFonts w:ascii="Verdana" w:hAnsi="Verdana"/>
          <w:sz w:val="22"/>
          <w:szCs w:val="22"/>
        </w:rPr>
      </w:pPr>
      <w:r w:rsidRPr="0030375E">
        <w:rPr>
          <w:rFonts w:ascii="Verdana" w:hAnsi="Verdana"/>
          <w:sz w:val="22"/>
          <w:szCs w:val="22"/>
        </w:rPr>
        <w:t>A continuación, se ilustran estos actores, dentro de los que están también el sector turístico, ya que en el área delimitada se podrían desarrollar actividades ecoturísticas y otros actores del sector público, tales como, el Departamento Nacional de Planeación DNP y el Ministerio de Hacienda, de los que dependen asignaciones presupuestales y también otros sectores como vivienda e infraestructura que aunque no tienen incidencia directa en la sostenibilidad ambiental del ecosistema de páramo, afectan la calidad de vida de su población.</w:t>
      </w:r>
    </w:p>
    <w:p w:rsidRPr="0030375E" w:rsidR="0030375E" w:rsidP="0030375E" w:rsidRDefault="0030375E" w14:paraId="3C92C344" w14:textId="77777777">
      <w:pPr>
        <w:jc w:val="both"/>
        <w:rPr>
          <w:rFonts w:ascii="Verdana" w:hAnsi="Verdana"/>
          <w:sz w:val="22"/>
          <w:szCs w:val="22"/>
        </w:rPr>
      </w:pPr>
    </w:p>
    <w:p w:rsidRPr="0030375E" w:rsidR="0030375E" w:rsidP="00EF6A61" w:rsidRDefault="007C2539" w14:paraId="46CE3C38" w14:textId="5B3891D2">
      <w:pPr>
        <w:pStyle w:val="Descripcin"/>
        <w:jc w:val="center"/>
        <w:rPr>
          <w:rFonts w:ascii="Verdana" w:hAnsi="Verdana"/>
          <w:sz w:val="22"/>
          <w:szCs w:val="22"/>
        </w:rPr>
      </w:pPr>
      <w:bookmarkStart w:name="_Toc234617633" w:id="14"/>
      <w:bookmarkStart w:name="_Toc234617741" w:id="15"/>
      <w:bookmarkStart w:name="_Toc234617939" w:id="16"/>
      <w:bookmarkStart w:name="_Toc234618839" w:id="17"/>
      <w:r w:rsidRPr="007C2539">
        <w:rPr>
          <w:rFonts w:ascii="Verdana" w:hAnsi="Verdana"/>
          <w:sz w:val="18"/>
          <w:szCs w:val="18"/>
        </w:rPr>
        <w:t xml:space="preserve">ILUSTRACIÓN </w:t>
      </w:r>
      <w:r w:rsidRPr="007C2539" w:rsidR="00EF6A61">
        <w:rPr>
          <w:rFonts w:ascii="Verdana" w:hAnsi="Verdana"/>
          <w:sz w:val="18"/>
          <w:szCs w:val="18"/>
        </w:rPr>
        <w:fldChar w:fldCharType="begin"/>
      </w:r>
      <w:r w:rsidRPr="007C2539" w:rsidR="00EF6A61">
        <w:rPr>
          <w:rFonts w:ascii="Verdana" w:hAnsi="Verdana"/>
          <w:sz w:val="18"/>
          <w:szCs w:val="18"/>
        </w:rPr>
        <w:instrText xml:space="preserve"> SEQ Ilustración \* ARABIC </w:instrText>
      </w:r>
      <w:r w:rsidRPr="007C2539" w:rsidR="00EF6A61">
        <w:rPr>
          <w:rFonts w:ascii="Verdana" w:hAnsi="Verdana"/>
          <w:sz w:val="18"/>
          <w:szCs w:val="18"/>
        </w:rPr>
        <w:fldChar w:fldCharType="separate"/>
      </w:r>
      <w:r w:rsidRPr="007C2539">
        <w:rPr>
          <w:rFonts w:ascii="Verdana" w:hAnsi="Verdana"/>
          <w:noProof/>
          <w:sz w:val="18"/>
          <w:szCs w:val="18"/>
        </w:rPr>
        <w:t>2</w:t>
      </w:r>
      <w:r w:rsidRPr="007C2539" w:rsidR="00EF6A61">
        <w:rPr>
          <w:rFonts w:ascii="Verdana" w:hAnsi="Verdana"/>
          <w:sz w:val="18"/>
          <w:szCs w:val="18"/>
        </w:rPr>
        <w:fldChar w:fldCharType="end"/>
      </w:r>
      <w:r w:rsidRPr="007C2539">
        <w:rPr>
          <w:rFonts w:ascii="Verdana" w:hAnsi="Verdana"/>
          <w:sz w:val="18"/>
          <w:szCs w:val="18"/>
        </w:rPr>
        <w:t>.ACTORES RELEVANTES MODELO DE FINANCIACIÓN</w:t>
      </w:r>
      <w:r w:rsidR="0030375E">
        <w:rPr>
          <w:noProof/>
        </w:rPr>
        <w:drawing>
          <wp:inline distT="0" distB="0" distL="0" distR="0" wp14:anchorId="75B3055C" wp14:editId="6FE18485">
            <wp:extent cx="4431402" cy="1951336"/>
            <wp:effectExtent l="0" t="0" r="0" b="0"/>
            <wp:docPr id="52248994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3343"/>
                    <a:stretch>
                      <a:fillRect/>
                    </a:stretch>
                  </pic:blipFill>
                  <pic:spPr bwMode="auto">
                    <a:xfrm>
                      <a:off x="0" y="0"/>
                      <a:ext cx="4485675" cy="1975235"/>
                    </a:xfrm>
                    <a:prstGeom prst="rect">
                      <a:avLst/>
                    </a:prstGeom>
                    <a:noFill/>
                    <a:ln>
                      <a:noFill/>
                    </a:ln>
                    <a:extLst>
                      <a:ext uri="{53640926-AAD7-44D8-BBD7-CCE9431645EC}">
                        <a14:shadowObscured xmlns:a14="http://schemas.microsoft.com/office/drawing/2010/main"/>
                      </a:ext>
                    </a:extLst>
                  </pic:spPr>
                </pic:pic>
              </a:graphicData>
            </a:graphic>
          </wp:inline>
        </w:drawing>
      </w:r>
      <w:bookmarkEnd w:id="14"/>
      <w:bookmarkEnd w:id="15"/>
      <w:bookmarkEnd w:id="16"/>
      <w:bookmarkEnd w:id="17"/>
    </w:p>
    <w:p w:rsidRPr="007C2539" w:rsidR="0030375E" w:rsidP="0030375E" w:rsidRDefault="0030375E" w14:paraId="4DA6DE01" w14:textId="2F2980B0">
      <w:pPr>
        <w:jc w:val="center"/>
        <w:rPr>
          <w:rFonts w:ascii="Verdana" w:hAnsi="Verdana"/>
          <w:i/>
          <w:iCs/>
          <w:sz w:val="18"/>
          <w:szCs w:val="18"/>
        </w:rPr>
      </w:pPr>
      <w:r w:rsidRPr="007C2539">
        <w:rPr>
          <w:rFonts w:ascii="Verdana" w:hAnsi="Verdana"/>
          <w:i/>
          <w:iCs/>
          <w:sz w:val="18"/>
          <w:szCs w:val="18"/>
        </w:rPr>
        <w:t>Fuente: Ministerio de Ambiente. Oficina de Negocios Verdes. 2025</w:t>
      </w:r>
    </w:p>
    <w:p w:rsidR="0030375E" w:rsidP="0030375E" w:rsidRDefault="0030375E" w14:paraId="664E0670" w14:textId="3AACEB3E">
      <w:pPr>
        <w:jc w:val="both"/>
        <w:rPr>
          <w:rFonts w:ascii="Verdana" w:hAnsi="Verdana"/>
          <w:sz w:val="22"/>
          <w:szCs w:val="22"/>
        </w:rPr>
      </w:pPr>
      <w:r w:rsidRPr="0030375E">
        <w:rPr>
          <w:rFonts w:ascii="Verdana" w:hAnsi="Verdana"/>
          <w:sz w:val="22"/>
          <w:szCs w:val="22"/>
        </w:rPr>
        <w:t>Es importante aclarar que el aporte de estos actores no solo debe ser monetario, es decir inversiones directas o transferencias financieras, sino que puede consistir en apoyo institucional para articular instrumentos de planeación, definición de lineamientos técnicos, fortalecimiento de capacidades técnicas, empresariales y asociativas a las comunidades, investigación y extensión, entre otros.</w:t>
      </w:r>
    </w:p>
    <w:p w:rsidR="0030375E" w:rsidP="00C75E01" w:rsidRDefault="0030375E" w14:paraId="16C971FB" w14:textId="7D685156">
      <w:pPr>
        <w:pStyle w:val="Estilo5"/>
      </w:pPr>
      <w:r w:rsidRPr="00EF6A61">
        <w:lastRenderedPageBreak/>
        <w:t>Sector Ambiental</w:t>
      </w:r>
    </w:p>
    <w:p w:rsidRPr="0052768E" w:rsidR="0052768E" w:rsidP="0052768E" w:rsidRDefault="0052768E" w14:paraId="26055E3C" w14:textId="77777777">
      <w:pPr>
        <w:pStyle w:val="Ttulo3"/>
      </w:pPr>
    </w:p>
    <w:p w:rsidR="0030375E" w:rsidP="0030375E" w:rsidRDefault="0030375E" w14:paraId="55C87362" w14:textId="786FD2AA">
      <w:pPr>
        <w:jc w:val="both"/>
        <w:rPr>
          <w:rFonts w:ascii="Verdana" w:hAnsi="Verdana"/>
          <w:sz w:val="22"/>
          <w:szCs w:val="22"/>
        </w:rPr>
      </w:pPr>
      <w:r w:rsidRPr="0030375E">
        <w:rPr>
          <w:rFonts w:ascii="Verdana" w:hAnsi="Verdana"/>
          <w:sz w:val="22"/>
          <w:szCs w:val="22"/>
        </w:rPr>
        <w:t xml:space="preserve">En la siguiente </w:t>
      </w:r>
      <w:r w:rsidRPr="007C2539">
        <w:rPr>
          <w:rFonts w:ascii="Verdana" w:hAnsi="Verdana"/>
          <w:i/>
          <w:iCs/>
          <w:sz w:val="22"/>
          <w:szCs w:val="22"/>
        </w:rPr>
        <w:t>tabla</w:t>
      </w:r>
      <w:r w:rsidRPr="007C2539" w:rsidR="00EF6A61">
        <w:rPr>
          <w:rFonts w:ascii="Verdana" w:hAnsi="Verdana"/>
          <w:i/>
          <w:iCs/>
          <w:sz w:val="22"/>
          <w:szCs w:val="22"/>
        </w:rPr>
        <w:t xml:space="preserve"> 1</w:t>
      </w:r>
      <w:r w:rsidR="00EF6A61">
        <w:rPr>
          <w:rFonts w:ascii="Verdana" w:hAnsi="Verdana"/>
          <w:sz w:val="22"/>
          <w:szCs w:val="22"/>
        </w:rPr>
        <w:t>,</w:t>
      </w:r>
      <w:r w:rsidRPr="0030375E">
        <w:rPr>
          <w:rFonts w:ascii="Verdana" w:hAnsi="Verdana"/>
          <w:sz w:val="22"/>
          <w:szCs w:val="22"/>
        </w:rPr>
        <w:t xml:space="preserve"> se relacionan las fuentes financieras potenciales para realizar inversiones en los ecosistemas estratégicos, particularmente páramos; en actividades de conservación y restauración; así como en la aplicación de incentivos a la conservación y reconversión productiva tales como el PSA y los Negocios Verdes.</w:t>
      </w:r>
    </w:p>
    <w:p w:rsidRPr="007C2539" w:rsidR="00EF6A61" w:rsidP="00EF6A61" w:rsidRDefault="007C2539" w14:paraId="74F1AF47" w14:textId="098C4AFC">
      <w:pPr>
        <w:pStyle w:val="Descripcin"/>
        <w:jc w:val="center"/>
        <w:rPr>
          <w:rFonts w:ascii="Verdana" w:hAnsi="Verdana"/>
        </w:rPr>
      </w:pPr>
      <w:bookmarkStart w:name="_Toc234617446" w:id="18"/>
      <w:bookmarkStart w:name="_Toc234619050" w:id="19"/>
      <w:r w:rsidRPr="007C2539">
        <w:rPr>
          <w:rFonts w:ascii="Verdana" w:hAnsi="Verdana"/>
          <w:sz w:val="18"/>
          <w:szCs w:val="18"/>
        </w:rPr>
        <w:t xml:space="preserve">TABLA </w:t>
      </w:r>
      <w:r w:rsidRPr="007C2539" w:rsidR="00EF6A61">
        <w:rPr>
          <w:rFonts w:ascii="Verdana" w:hAnsi="Verdana"/>
          <w:sz w:val="18"/>
          <w:szCs w:val="18"/>
        </w:rPr>
        <w:fldChar w:fldCharType="begin"/>
      </w:r>
      <w:r w:rsidRPr="007C2539" w:rsidR="00EF6A61">
        <w:rPr>
          <w:rFonts w:ascii="Verdana" w:hAnsi="Verdana"/>
          <w:sz w:val="18"/>
          <w:szCs w:val="18"/>
        </w:rPr>
        <w:instrText xml:space="preserve"> SEQ Tabla \* ARABIC </w:instrText>
      </w:r>
      <w:r w:rsidRPr="007C2539" w:rsidR="00EF6A61">
        <w:rPr>
          <w:rFonts w:ascii="Verdana" w:hAnsi="Verdana"/>
          <w:sz w:val="18"/>
          <w:szCs w:val="18"/>
        </w:rPr>
        <w:fldChar w:fldCharType="separate"/>
      </w:r>
      <w:r w:rsidRPr="007C2539">
        <w:rPr>
          <w:rFonts w:ascii="Verdana" w:hAnsi="Verdana"/>
          <w:noProof/>
          <w:sz w:val="18"/>
          <w:szCs w:val="18"/>
        </w:rPr>
        <w:t>1</w:t>
      </w:r>
      <w:r w:rsidRPr="007C2539" w:rsidR="00EF6A61">
        <w:rPr>
          <w:rFonts w:ascii="Verdana" w:hAnsi="Verdana"/>
          <w:sz w:val="18"/>
          <w:szCs w:val="18"/>
        </w:rPr>
        <w:fldChar w:fldCharType="end"/>
      </w:r>
      <w:r w:rsidRPr="007C2539">
        <w:rPr>
          <w:rFonts w:ascii="Verdana" w:hAnsi="Verdana"/>
          <w:sz w:val="18"/>
          <w:szCs w:val="18"/>
        </w:rPr>
        <w:t>.POTENCIALES FUENTES DE FINANCIACIÓN Y SU MARCO NORMATIVO PARA INVERSIÓN EN ECOSISTEMAS ESTRATÉGICOS</w:t>
      </w:r>
      <w:bookmarkEnd w:id="18"/>
      <w:bookmarkEnd w:id="19"/>
    </w:p>
    <w:p w:rsidRPr="0030375E" w:rsidR="0030375E" w:rsidP="0030375E" w:rsidRDefault="0030375E" w14:paraId="42169AF1" w14:textId="50872333">
      <w:pPr>
        <w:jc w:val="both"/>
        <w:rPr>
          <w:rFonts w:ascii="Verdana" w:hAnsi="Verdana"/>
          <w:i/>
          <w:iCs/>
          <w:sz w:val="22"/>
          <w:szCs w:val="22"/>
        </w:rPr>
      </w:pPr>
    </w:p>
    <w:tbl>
      <w:tblPr>
        <w:tblStyle w:val="Tabladelista1clara-nfasis3"/>
        <w:tblW w:w="0" w:type="auto"/>
        <w:tblLook w:val="04A0" w:firstRow="1" w:lastRow="0" w:firstColumn="1" w:lastColumn="0" w:noHBand="0" w:noVBand="1"/>
      </w:tblPr>
      <w:tblGrid>
        <w:gridCol w:w="3642"/>
        <w:gridCol w:w="2713"/>
        <w:gridCol w:w="2483"/>
      </w:tblGrid>
      <w:tr w:rsidRPr="0030375E" w:rsidR="0030375E" w:rsidTr="007C2539" w14:paraId="16B3C3AA"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42" w:type="dxa"/>
            <w:hideMark/>
          </w:tcPr>
          <w:p w:rsidRPr="0030375E" w:rsidR="0030375E" w:rsidP="0030375E" w:rsidRDefault="0030375E" w14:paraId="7C1AF30A" w14:textId="77777777">
            <w:pPr>
              <w:spacing w:after="160" w:line="259" w:lineRule="auto"/>
              <w:jc w:val="center"/>
              <w:rPr>
                <w:rFonts w:eastAsiaTheme="minorHAnsi"/>
                <w:noProof/>
                <w:kern w:val="2"/>
                <w:sz w:val="22"/>
                <w:szCs w:val="22"/>
                <w14:ligatures w14:val="standardContextual"/>
              </w:rPr>
            </w:pPr>
            <w:r w:rsidRPr="0030375E">
              <w:rPr>
                <w:rFonts w:eastAsiaTheme="minorHAnsi"/>
                <w:noProof/>
                <w:kern w:val="2"/>
                <w:sz w:val="22"/>
                <w:szCs w:val="22"/>
                <w14:ligatures w14:val="standardContextual"/>
              </w:rPr>
              <w:t>Fuente</w:t>
            </w:r>
          </w:p>
        </w:tc>
        <w:tc>
          <w:tcPr>
            <w:tcW w:w="2713" w:type="dxa"/>
            <w:hideMark/>
          </w:tcPr>
          <w:p w:rsidRPr="0030375E" w:rsidR="0030375E" w:rsidP="0030375E" w:rsidRDefault="0030375E" w14:paraId="30EAC650" w14:textId="77777777">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eastAsiaTheme="minorHAnsi"/>
                <w:kern w:val="2"/>
                <w:sz w:val="22"/>
                <w:szCs w:val="22"/>
                <w14:ligatures w14:val="standardContextual"/>
              </w:rPr>
            </w:pPr>
            <w:r w:rsidRPr="0030375E">
              <w:rPr>
                <w:rFonts w:eastAsiaTheme="minorHAnsi"/>
                <w:kern w:val="2"/>
                <w:sz w:val="22"/>
                <w:szCs w:val="22"/>
                <w14:ligatures w14:val="standardContextual"/>
              </w:rPr>
              <w:t>Normativa</w:t>
            </w:r>
          </w:p>
        </w:tc>
        <w:tc>
          <w:tcPr>
            <w:tcW w:w="2483" w:type="dxa"/>
          </w:tcPr>
          <w:p w:rsidRPr="0030375E" w:rsidR="0030375E" w:rsidP="0030375E" w:rsidRDefault="0030375E" w14:paraId="39C6B252" w14:textId="77777777">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eastAsiaTheme="minorHAnsi"/>
                <w:kern w:val="2"/>
                <w:sz w:val="22"/>
                <w:szCs w:val="22"/>
                <w14:ligatures w14:val="standardContextual"/>
              </w:rPr>
            </w:pPr>
            <w:r w:rsidRPr="0030375E">
              <w:rPr>
                <w:rFonts w:eastAsiaTheme="minorHAnsi"/>
                <w:kern w:val="2"/>
                <w:sz w:val="22"/>
                <w:szCs w:val="22"/>
                <w14:ligatures w14:val="standardContextual"/>
              </w:rPr>
              <w:t>Entidad Responsable</w:t>
            </w:r>
          </w:p>
        </w:tc>
      </w:tr>
      <w:tr w:rsidRPr="0030375E" w:rsidR="0030375E" w:rsidTr="007C2539" w14:paraId="2BEB1210" w14:textId="77777777">
        <w:trPr>
          <w:cnfStyle w:val="000000100000" w:firstRow="0" w:lastRow="0" w:firstColumn="0" w:lastColumn="0" w:oddVBand="0" w:evenVBand="0" w:oddHBand="1" w:evenHBand="0" w:firstRowFirstColumn="0" w:firstRowLastColumn="0" w:lastRowFirstColumn="0" w:lastRowLastColumn="0"/>
          <w:trHeight w:val="748"/>
        </w:trPr>
        <w:tc>
          <w:tcPr>
            <w:cnfStyle w:val="001000000000" w:firstRow="0" w:lastRow="0" w:firstColumn="1" w:lastColumn="0" w:oddVBand="0" w:evenVBand="0" w:oddHBand="0" w:evenHBand="0" w:firstRowFirstColumn="0" w:firstRowLastColumn="0" w:lastRowFirstColumn="0" w:lastRowLastColumn="0"/>
            <w:tcW w:w="3642" w:type="dxa"/>
            <w:hideMark/>
          </w:tcPr>
          <w:p w:rsidRPr="0030375E" w:rsidR="0030375E" w:rsidP="0030375E" w:rsidRDefault="0030375E" w14:paraId="09661C5D" w14:textId="77777777">
            <w:pPr>
              <w:spacing w:after="160" w:line="259" w:lineRule="auto"/>
              <w:rPr>
                <w:rFonts w:eastAsiaTheme="minorHAnsi"/>
                <w:noProof/>
                <w:kern w:val="2"/>
                <w14:ligatures w14:val="standardContextual"/>
              </w:rPr>
            </w:pPr>
            <w:r w:rsidRPr="0030375E">
              <w:rPr>
                <w:rFonts w:eastAsiaTheme="minorHAnsi"/>
                <w:noProof/>
                <w:kern w:val="2"/>
                <w14:ligatures w14:val="standardContextual"/>
              </w:rPr>
              <w:t>Aporte del 1% de los ingresos corrientes de los municipios y departamentos se puede utilizar en compra de predios y esquemas de PSA</w:t>
            </w:r>
          </w:p>
        </w:tc>
        <w:tc>
          <w:tcPr>
            <w:tcW w:w="2713" w:type="dxa"/>
          </w:tcPr>
          <w:p w:rsidRPr="0030375E" w:rsidR="0030375E" w:rsidP="0030375E" w:rsidRDefault="0030375E" w14:paraId="2D5AD9D4" w14:textId="77777777">
            <w:pPr>
              <w:spacing w:after="160" w:line="259" w:lineRule="auto"/>
              <w:cnfStyle w:val="000000100000" w:firstRow="0" w:lastRow="0" w:firstColumn="0" w:lastColumn="0" w:oddVBand="0" w:evenVBand="0" w:oddHBand="1" w:evenHBand="0" w:firstRowFirstColumn="0" w:firstRowLastColumn="0" w:lastRowFirstColumn="0" w:lastRowLastColumn="0"/>
              <w:rPr>
                <w:rFonts w:eastAsiaTheme="minorHAnsi"/>
                <w:noProof/>
                <w:kern w:val="2"/>
                <w:sz w:val="18"/>
                <w:szCs w:val="18"/>
                <w14:ligatures w14:val="standardContextual"/>
              </w:rPr>
            </w:pPr>
            <w:r w:rsidRPr="0030375E">
              <w:rPr>
                <w:rFonts w:eastAsiaTheme="minorHAnsi"/>
                <w:kern w:val="2"/>
                <w:sz w:val="18"/>
                <w:szCs w:val="18"/>
                <w14:ligatures w14:val="standardContextual"/>
              </w:rPr>
              <w:t>Art. 111 Ley 99/1993, modificado por el Art.210 Ley 1450/2011</w:t>
            </w:r>
          </w:p>
        </w:tc>
        <w:tc>
          <w:tcPr>
            <w:tcW w:w="2483" w:type="dxa"/>
          </w:tcPr>
          <w:p w:rsidRPr="0030375E" w:rsidR="0030375E" w:rsidP="0030375E" w:rsidRDefault="0030375E" w14:paraId="11635CC8" w14:textId="77777777">
            <w:pPr>
              <w:spacing w:after="160" w:line="259" w:lineRule="auto"/>
              <w:cnfStyle w:val="000000100000" w:firstRow="0" w:lastRow="0" w:firstColumn="0" w:lastColumn="0" w:oddVBand="0" w:evenVBand="0" w:oddHBand="1"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Entes territoriales: departamentos y municipios</w:t>
            </w:r>
          </w:p>
        </w:tc>
      </w:tr>
      <w:tr w:rsidRPr="0030375E" w:rsidR="0030375E" w:rsidTr="007C2539" w14:paraId="4C7B190F" w14:textId="77777777">
        <w:tc>
          <w:tcPr>
            <w:cnfStyle w:val="001000000000" w:firstRow="0" w:lastRow="0" w:firstColumn="1" w:lastColumn="0" w:oddVBand="0" w:evenVBand="0" w:oddHBand="0" w:evenHBand="0" w:firstRowFirstColumn="0" w:firstRowLastColumn="0" w:lastRowFirstColumn="0" w:lastRowLastColumn="0"/>
            <w:tcW w:w="3642" w:type="dxa"/>
            <w:hideMark/>
          </w:tcPr>
          <w:p w:rsidRPr="0030375E" w:rsidR="0030375E" w:rsidP="0030375E" w:rsidRDefault="0030375E" w14:paraId="7420CC7F" w14:textId="77777777">
            <w:pPr>
              <w:spacing w:after="160" w:line="259" w:lineRule="auto"/>
              <w:rPr>
                <w:rFonts w:eastAsiaTheme="minorHAnsi"/>
                <w:noProof/>
                <w:kern w:val="2"/>
                <w14:ligatures w14:val="standardContextual"/>
              </w:rPr>
            </w:pPr>
            <w:r w:rsidRPr="0030375E">
              <w:rPr>
                <w:rFonts w:eastAsiaTheme="minorHAnsi"/>
                <w:noProof/>
                <w:kern w:val="2"/>
                <w14:ligatures w14:val="standardContextual"/>
              </w:rPr>
              <w:t>Adquisición de predios en áreas y ecosistemas de interés estratégico y PSA</w:t>
            </w:r>
          </w:p>
        </w:tc>
        <w:tc>
          <w:tcPr>
            <w:tcW w:w="2713" w:type="dxa"/>
          </w:tcPr>
          <w:p w:rsidRPr="0030375E" w:rsidR="0030375E" w:rsidP="0030375E" w:rsidRDefault="0030375E" w14:paraId="2952186D" w14:textId="77777777">
            <w:pPr>
              <w:spacing w:after="160" w:line="259" w:lineRule="auto"/>
              <w:cnfStyle w:val="000000000000" w:firstRow="0" w:lastRow="0" w:firstColumn="0" w:lastColumn="0" w:oddVBand="0" w:evenVBand="0" w:oddHBand="0"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Art. 108 Ley 99/93, modificada por el Art. 174 Ley 1753/15</w:t>
            </w:r>
          </w:p>
          <w:p w:rsidRPr="0030375E" w:rsidR="0030375E" w:rsidP="0030375E" w:rsidRDefault="0030375E" w14:paraId="4D7FE3D7" w14:textId="77777777">
            <w:pPr>
              <w:spacing w:after="160" w:line="259" w:lineRule="auto"/>
              <w:cnfStyle w:val="000000000000" w:firstRow="0" w:lastRow="0" w:firstColumn="0" w:lastColumn="0" w:oddVBand="0" w:evenVBand="0" w:oddHBand="0" w:evenHBand="0" w:firstRowFirstColumn="0" w:firstRowLastColumn="0" w:lastRowFirstColumn="0" w:lastRowLastColumn="0"/>
              <w:rPr>
                <w:rFonts w:eastAsiaTheme="minorHAnsi"/>
                <w:noProof/>
                <w:kern w:val="2"/>
                <w:sz w:val="18"/>
                <w:szCs w:val="18"/>
                <w14:ligatures w14:val="standardContextual"/>
              </w:rPr>
            </w:pPr>
          </w:p>
        </w:tc>
        <w:tc>
          <w:tcPr>
            <w:tcW w:w="2483" w:type="dxa"/>
          </w:tcPr>
          <w:p w:rsidRPr="0030375E" w:rsidR="0030375E" w:rsidP="0030375E" w:rsidRDefault="0030375E" w14:paraId="3E548B91" w14:textId="77777777">
            <w:pPr>
              <w:spacing w:after="160" w:line="259" w:lineRule="auto"/>
              <w:cnfStyle w:val="000000000000" w:firstRow="0" w:lastRow="0" w:firstColumn="0" w:lastColumn="0" w:oddVBand="0" w:evenVBand="0" w:oddHBand="0"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Entes territoriales, Autoridades Ambientales: Corporaciones Regionales, Parques Nacionales, Secretaría Distrital de Ambiente</w:t>
            </w:r>
          </w:p>
        </w:tc>
      </w:tr>
      <w:tr w:rsidRPr="0030375E" w:rsidR="0030375E" w:rsidTr="007C2539" w14:paraId="12A79AC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42" w:type="dxa"/>
            <w:hideMark/>
          </w:tcPr>
          <w:p w:rsidRPr="0030375E" w:rsidR="0030375E" w:rsidP="0030375E" w:rsidRDefault="0030375E" w14:paraId="297D370E" w14:textId="77777777">
            <w:pPr>
              <w:spacing w:after="160" w:line="259" w:lineRule="auto"/>
              <w:rPr>
                <w:rFonts w:eastAsiaTheme="minorHAnsi"/>
                <w:noProof/>
                <w:kern w:val="2"/>
                <w14:ligatures w14:val="standardContextual"/>
              </w:rPr>
            </w:pPr>
            <w:r w:rsidRPr="0030375E">
              <w:rPr>
                <w:rFonts w:eastAsiaTheme="minorHAnsi"/>
                <w:noProof/>
                <w:kern w:val="2"/>
                <w14:ligatures w14:val="standardContextual"/>
              </w:rPr>
              <w:t>Tasa por utilización de aguas</w:t>
            </w:r>
          </w:p>
        </w:tc>
        <w:tc>
          <w:tcPr>
            <w:tcW w:w="2713" w:type="dxa"/>
            <w:hideMark/>
          </w:tcPr>
          <w:p w:rsidRPr="0030375E" w:rsidR="0030375E" w:rsidP="0030375E" w:rsidRDefault="0030375E" w14:paraId="43B5EF6C" w14:textId="77777777">
            <w:pPr>
              <w:spacing w:after="160" w:line="259" w:lineRule="auto"/>
              <w:cnfStyle w:val="000000100000" w:firstRow="0" w:lastRow="0" w:firstColumn="0" w:lastColumn="0" w:oddVBand="0" w:evenVBand="0" w:oddHBand="1" w:evenHBand="0" w:firstRowFirstColumn="0" w:firstRowLastColumn="0" w:lastRowFirstColumn="0" w:lastRowLastColumn="0"/>
              <w:rPr>
                <w:rFonts w:eastAsiaTheme="minorHAnsi"/>
                <w:noProof/>
                <w:kern w:val="2"/>
                <w:sz w:val="18"/>
                <w:szCs w:val="18"/>
                <w14:ligatures w14:val="standardContextual"/>
              </w:rPr>
            </w:pPr>
            <w:r w:rsidRPr="0030375E">
              <w:rPr>
                <w:rFonts w:eastAsiaTheme="minorHAnsi"/>
                <w:kern w:val="2"/>
                <w:sz w:val="18"/>
                <w:szCs w:val="18"/>
                <w14:ligatures w14:val="standardContextual"/>
              </w:rPr>
              <w:t>Art. 43 Ley 99/93 reglamenta por el Decreto 1155/17</w:t>
            </w:r>
          </w:p>
        </w:tc>
        <w:tc>
          <w:tcPr>
            <w:tcW w:w="2483" w:type="dxa"/>
          </w:tcPr>
          <w:p w:rsidRPr="0030375E" w:rsidR="0030375E" w:rsidP="0030375E" w:rsidRDefault="0030375E" w14:paraId="35AEEC2F" w14:textId="77777777">
            <w:pPr>
              <w:spacing w:after="160" w:line="259" w:lineRule="auto"/>
              <w:cnfStyle w:val="000000100000" w:firstRow="0" w:lastRow="0" w:firstColumn="0" w:lastColumn="0" w:oddVBand="0" w:evenVBand="0" w:oddHBand="1"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Autoridades Ambientales</w:t>
            </w:r>
          </w:p>
        </w:tc>
      </w:tr>
      <w:tr w:rsidRPr="0030375E" w:rsidR="0030375E" w:rsidTr="007C2539" w14:paraId="2FA7D77B" w14:textId="77777777">
        <w:trPr>
          <w:trHeight w:val="469"/>
        </w:trPr>
        <w:tc>
          <w:tcPr>
            <w:cnfStyle w:val="001000000000" w:firstRow="0" w:lastRow="0" w:firstColumn="1" w:lastColumn="0" w:oddVBand="0" w:evenVBand="0" w:oddHBand="0" w:evenHBand="0" w:firstRowFirstColumn="0" w:firstRowLastColumn="0" w:lastRowFirstColumn="0" w:lastRowLastColumn="0"/>
            <w:tcW w:w="3642" w:type="dxa"/>
            <w:hideMark/>
          </w:tcPr>
          <w:p w:rsidRPr="0030375E" w:rsidR="0030375E" w:rsidP="0030375E" w:rsidRDefault="0030375E" w14:paraId="42E94D49" w14:textId="77777777">
            <w:pPr>
              <w:spacing w:after="160" w:line="259" w:lineRule="auto"/>
              <w:rPr>
                <w:rFonts w:eastAsiaTheme="minorHAnsi"/>
                <w:noProof/>
                <w:kern w:val="2"/>
                <w14:ligatures w14:val="standardContextual"/>
              </w:rPr>
            </w:pPr>
            <w:r w:rsidRPr="0030375E">
              <w:rPr>
                <w:rFonts w:eastAsiaTheme="minorHAnsi"/>
                <w:noProof/>
                <w:kern w:val="2"/>
                <w14:ligatures w14:val="standardContextual"/>
              </w:rPr>
              <w:t>Transferencias del sector eléctrico</w:t>
            </w:r>
          </w:p>
        </w:tc>
        <w:tc>
          <w:tcPr>
            <w:tcW w:w="2713" w:type="dxa"/>
            <w:hideMark/>
          </w:tcPr>
          <w:p w:rsidRPr="0030375E" w:rsidR="0030375E" w:rsidP="0030375E" w:rsidRDefault="0030375E" w14:paraId="0B46BB92" w14:textId="77777777">
            <w:pPr>
              <w:spacing w:after="160" w:line="259" w:lineRule="auto"/>
              <w:cnfStyle w:val="000000000000" w:firstRow="0" w:lastRow="0" w:firstColumn="0" w:lastColumn="0" w:oddVBand="0" w:evenVBand="0" w:oddHBand="0"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Empresas del Art 45 de la Ley 99/93</w:t>
            </w:r>
          </w:p>
        </w:tc>
        <w:tc>
          <w:tcPr>
            <w:tcW w:w="2483" w:type="dxa"/>
          </w:tcPr>
          <w:p w:rsidRPr="0030375E" w:rsidR="0030375E" w:rsidP="0030375E" w:rsidRDefault="0030375E" w14:paraId="33967F8B" w14:textId="77777777">
            <w:pPr>
              <w:spacing w:after="160" w:line="259" w:lineRule="auto"/>
              <w:cnfStyle w:val="000000000000" w:firstRow="0" w:lastRow="0" w:firstColumn="0" w:lastColumn="0" w:oddVBand="0" w:evenVBand="0" w:oddHBand="0"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Entes Territoriales: Municipios, Autoridades Ambientales</w:t>
            </w:r>
          </w:p>
        </w:tc>
      </w:tr>
      <w:tr w:rsidRPr="0030375E" w:rsidR="0030375E" w:rsidTr="007C2539" w14:paraId="08A957F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42" w:type="dxa"/>
            <w:hideMark/>
          </w:tcPr>
          <w:p w:rsidRPr="0030375E" w:rsidR="0030375E" w:rsidP="0030375E" w:rsidRDefault="0030375E" w14:paraId="5502574F" w14:textId="77777777">
            <w:pPr>
              <w:spacing w:after="160" w:line="259" w:lineRule="auto"/>
              <w:rPr>
                <w:rFonts w:eastAsiaTheme="minorHAnsi"/>
                <w:noProof/>
                <w:kern w:val="2"/>
                <w14:ligatures w14:val="standardContextual"/>
              </w:rPr>
            </w:pPr>
            <w:r w:rsidRPr="0030375E">
              <w:rPr>
                <w:rFonts w:eastAsiaTheme="minorHAnsi"/>
                <w:kern w:val="2"/>
                <w14:ligatures w14:val="standardContextual"/>
              </w:rPr>
              <w:t>Inversión forzosa 1% del total de las inversiones para recuperación, preservación y conservación de recurso hídrico en el marco de Licencia</w:t>
            </w:r>
          </w:p>
        </w:tc>
        <w:tc>
          <w:tcPr>
            <w:tcW w:w="2713" w:type="dxa"/>
            <w:hideMark/>
          </w:tcPr>
          <w:p w:rsidRPr="0030375E" w:rsidR="0030375E" w:rsidP="0030375E" w:rsidRDefault="0030375E" w14:paraId="55DC526E" w14:textId="77777777">
            <w:pPr>
              <w:spacing w:after="160" w:line="259" w:lineRule="auto"/>
              <w:cnfStyle w:val="000000100000" w:firstRow="0" w:lastRow="0" w:firstColumn="0" w:lastColumn="0" w:oddVBand="0" w:evenVBand="0" w:oddHBand="1"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Parágrafo de Art. 43 del Decreto 2099/16</w:t>
            </w:r>
          </w:p>
          <w:p w:rsidRPr="0030375E" w:rsidR="0030375E" w:rsidP="0030375E" w:rsidRDefault="0030375E" w14:paraId="005332E9" w14:textId="77777777">
            <w:pPr>
              <w:spacing w:after="160" w:line="259" w:lineRule="auto"/>
              <w:cnfStyle w:val="000000100000" w:firstRow="0" w:lastRow="0" w:firstColumn="0" w:lastColumn="0" w:oddVBand="0" w:evenVBand="0" w:oddHBand="1"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Dec.2099/19 y Dec.075/17, Res. 0256/18</w:t>
            </w:r>
          </w:p>
        </w:tc>
        <w:tc>
          <w:tcPr>
            <w:tcW w:w="2483" w:type="dxa"/>
          </w:tcPr>
          <w:p w:rsidRPr="0030375E" w:rsidR="0030375E" w:rsidP="0030375E" w:rsidRDefault="0030375E" w14:paraId="12D4CC2B" w14:textId="77777777">
            <w:pPr>
              <w:spacing w:after="160" w:line="259" w:lineRule="auto"/>
              <w:cnfStyle w:val="000000100000" w:firstRow="0" w:lastRow="0" w:firstColumn="0" w:lastColumn="0" w:oddVBand="0" w:evenVBand="0" w:oddHBand="1"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Sector Privado con autorización de ANLA o Corporaciones Regionales.</w:t>
            </w:r>
          </w:p>
        </w:tc>
      </w:tr>
      <w:tr w:rsidRPr="0030375E" w:rsidR="0030375E" w:rsidTr="007C2539" w14:paraId="5A3A3717" w14:textId="77777777">
        <w:trPr>
          <w:trHeight w:val="421"/>
        </w:trPr>
        <w:tc>
          <w:tcPr>
            <w:cnfStyle w:val="001000000000" w:firstRow="0" w:lastRow="0" w:firstColumn="1" w:lastColumn="0" w:oddVBand="0" w:evenVBand="0" w:oddHBand="0" w:evenHBand="0" w:firstRowFirstColumn="0" w:firstRowLastColumn="0" w:lastRowFirstColumn="0" w:lastRowLastColumn="0"/>
            <w:tcW w:w="3642" w:type="dxa"/>
            <w:hideMark/>
          </w:tcPr>
          <w:p w:rsidRPr="0030375E" w:rsidR="0030375E" w:rsidP="0030375E" w:rsidRDefault="0030375E" w14:paraId="639FF4AD" w14:textId="77777777">
            <w:pPr>
              <w:spacing w:after="160" w:line="259" w:lineRule="auto"/>
              <w:rPr>
                <w:rFonts w:eastAsiaTheme="minorHAnsi"/>
                <w:noProof/>
                <w:kern w:val="2"/>
                <w14:ligatures w14:val="standardContextual"/>
              </w:rPr>
            </w:pPr>
            <w:r w:rsidRPr="0030375E">
              <w:rPr>
                <w:rFonts w:eastAsiaTheme="minorHAnsi"/>
                <w:kern w:val="2"/>
                <w14:ligatures w14:val="standardContextual"/>
              </w:rPr>
              <w:t>Compensación por pedida de biodiversidad. Bancos de Hábitat.</w:t>
            </w:r>
          </w:p>
        </w:tc>
        <w:tc>
          <w:tcPr>
            <w:tcW w:w="2713" w:type="dxa"/>
          </w:tcPr>
          <w:p w:rsidRPr="0030375E" w:rsidR="0030375E" w:rsidP="0030375E" w:rsidRDefault="0030375E" w14:paraId="0A7A765C" w14:textId="77777777">
            <w:pPr>
              <w:spacing w:after="160" w:line="259" w:lineRule="auto"/>
              <w:cnfStyle w:val="000000000000" w:firstRow="0" w:lastRow="0" w:firstColumn="0" w:lastColumn="0" w:oddVBand="0" w:evenVBand="0" w:oddHBand="0"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Reglamentada por la Res. 0256/18</w:t>
            </w:r>
          </w:p>
          <w:p w:rsidRPr="0030375E" w:rsidR="0030375E" w:rsidP="0030375E" w:rsidRDefault="0030375E" w14:paraId="171B677D" w14:textId="77777777">
            <w:pPr>
              <w:spacing w:after="160" w:line="259" w:lineRule="auto"/>
              <w:cnfStyle w:val="000000000000" w:firstRow="0" w:lastRow="0" w:firstColumn="0" w:lastColumn="0" w:oddVBand="0" w:evenVBand="0" w:oddHBand="0" w:evenHBand="0" w:firstRowFirstColumn="0" w:firstRowLastColumn="0" w:lastRowFirstColumn="0" w:lastRowLastColumn="0"/>
              <w:rPr>
                <w:rFonts w:eastAsiaTheme="minorHAnsi"/>
                <w:kern w:val="2"/>
                <w:sz w:val="18"/>
                <w:szCs w:val="18"/>
                <w14:ligatures w14:val="standardContextual"/>
              </w:rPr>
            </w:pPr>
          </w:p>
        </w:tc>
        <w:tc>
          <w:tcPr>
            <w:tcW w:w="2483" w:type="dxa"/>
          </w:tcPr>
          <w:p w:rsidRPr="0030375E" w:rsidR="0030375E" w:rsidP="0030375E" w:rsidRDefault="0030375E" w14:paraId="115DE581" w14:textId="77777777">
            <w:pPr>
              <w:spacing w:after="160" w:line="259" w:lineRule="auto"/>
              <w:cnfStyle w:val="000000000000" w:firstRow="0" w:lastRow="0" w:firstColumn="0" w:lastColumn="0" w:oddVBand="0" w:evenVBand="0" w:oddHBand="0"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Sector Privado con autorización de ANLA o Corporaciones Regionales.</w:t>
            </w:r>
          </w:p>
        </w:tc>
      </w:tr>
      <w:tr w:rsidRPr="0030375E" w:rsidR="0030375E" w:rsidTr="007C2539" w14:paraId="7BDDCD1B" w14:textId="77777777">
        <w:trPr>
          <w:cnfStyle w:val="000000100000" w:firstRow="0" w:lastRow="0" w:firstColumn="0" w:lastColumn="0" w:oddVBand="0" w:evenVBand="0" w:oddHBand="1" w:evenHBand="0" w:firstRowFirstColumn="0" w:firstRowLastColumn="0" w:lastRowFirstColumn="0" w:lastRowLastColumn="0"/>
          <w:trHeight w:val="1257"/>
        </w:trPr>
        <w:tc>
          <w:tcPr>
            <w:cnfStyle w:val="001000000000" w:firstRow="0" w:lastRow="0" w:firstColumn="1" w:lastColumn="0" w:oddVBand="0" w:evenVBand="0" w:oddHBand="0" w:evenHBand="0" w:firstRowFirstColumn="0" w:firstRowLastColumn="0" w:lastRowFirstColumn="0" w:lastRowLastColumn="0"/>
            <w:tcW w:w="3642" w:type="dxa"/>
          </w:tcPr>
          <w:p w:rsidRPr="0030375E" w:rsidR="0030375E" w:rsidP="0030375E" w:rsidRDefault="0030375E" w14:paraId="06605429" w14:textId="77777777">
            <w:pPr>
              <w:spacing w:after="160" w:line="259" w:lineRule="auto"/>
              <w:rPr>
                <w:rFonts w:eastAsiaTheme="minorHAnsi"/>
                <w:kern w:val="2"/>
                <w14:ligatures w14:val="standardContextual"/>
              </w:rPr>
            </w:pPr>
            <w:r w:rsidRPr="0030375E">
              <w:rPr>
                <w:rFonts w:eastAsiaTheme="minorHAnsi"/>
                <w:kern w:val="2"/>
                <w14:ligatures w14:val="standardContextual"/>
              </w:rPr>
              <w:t>Beneficios tributarios</w:t>
            </w:r>
          </w:p>
          <w:p w:rsidRPr="0030375E" w:rsidR="0030375E" w:rsidP="0030375E" w:rsidRDefault="0030375E" w14:paraId="38896477" w14:textId="77777777">
            <w:pPr>
              <w:spacing w:after="160" w:line="259" w:lineRule="auto"/>
              <w:rPr>
                <w:rFonts w:eastAsiaTheme="minorHAnsi"/>
                <w:kern w:val="2"/>
                <w14:ligatures w14:val="standardContextual"/>
              </w:rPr>
            </w:pPr>
            <w:r w:rsidRPr="0030375E">
              <w:rPr>
                <w:rFonts w:eastAsiaTheme="minorHAnsi"/>
                <w:kern w:val="2"/>
                <w14:ligatures w14:val="standardContextual"/>
              </w:rPr>
              <w:t>Descuento para inversiones en control, conservación y mejoramiento del medio ambiente.</w:t>
            </w:r>
          </w:p>
          <w:p w:rsidRPr="0030375E" w:rsidR="0030375E" w:rsidP="0030375E" w:rsidRDefault="0030375E" w14:paraId="09DFEC38" w14:textId="77777777">
            <w:pPr>
              <w:spacing w:after="160" w:line="259" w:lineRule="auto"/>
              <w:rPr>
                <w:rFonts w:eastAsiaTheme="minorHAnsi"/>
                <w:noProof/>
                <w:kern w:val="2"/>
                <w14:ligatures w14:val="standardContextual"/>
              </w:rPr>
            </w:pPr>
            <w:r w:rsidRPr="0030375E">
              <w:rPr>
                <w:rFonts w:eastAsiaTheme="minorHAnsi"/>
                <w:kern w:val="2"/>
                <w14:ligatures w14:val="standardContextual"/>
              </w:rPr>
              <w:lastRenderedPageBreak/>
              <w:t>Descuento del impuesto sobre la renta el 25% de las inversiones que hayan realizado en el respectivo año gravable.</w:t>
            </w:r>
          </w:p>
        </w:tc>
        <w:tc>
          <w:tcPr>
            <w:tcW w:w="2713" w:type="dxa"/>
            <w:hideMark/>
          </w:tcPr>
          <w:p w:rsidRPr="0030375E" w:rsidR="0030375E" w:rsidP="0030375E" w:rsidRDefault="0030375E" w14:paraId="6E75E2A7" w14:textId="77777777">
            <w:pPr>
              <w:spacing w:after="160" w:line="259" w:lineRule="auto"/>
              <w:cnfStyle w:val="000000100000" w:firstRow="0" w:lastRow="0" w:firstColumn="0" w:lastColumn="0" w:oddVBand="0" w:evenVBand="0" w:oddHBand="1"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lastRenderedPageBreak/>
              <w:t>Art. 255 de Estatuto Tributario</w:t>
            </w:r>
          </w:p>
        </w:tc>
        <w:tc>
          <w:tcPr>
            <w:tcW w:w="2483" w:type="dxa"/>
          </w:tcPr>
          <w:p w:rsidRPr="0030375E" w:rsidR="0030375E" w:rsidP="0030375E" w:rsidRDefault="0030375E" w14:paraId="3B85175B" w14:textId="77777777">
            <w:pPr>
              <w:spacing w:after="160" w:line="259" w:lineRule="auto"/>
              <w:cnfStyle w:val="000000100000" w:firstRow="0" w:lastRow="0" w:firstColumn="0" w:lastColumn="0" w:oddVBand="0" w:evenVBand="0" w:oddHBand="1"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Sector privado con autorización de ANLA</w:t>
            </w:r>
          </w:p>
        </w:tc>
      </w:tr>
      <w:tr w:rsidRPr="0030375E" w:rsidR="0030375E" w:rsidTr="007C2539" w14:paraId="47FE7613" w14:textId="77777777">
        <w:tc>
          <w:tcPr>
            <w:cnfStyle w:val="001000000000" w:firstRow="0" w:lastRow="0" w:firstColumn="1" w:lastColumn="0" w:oddVBand="0" w:evenVBand="0" w:oddHBand="0" w:evenHBand="0" w:firstRowFirstColumn="0" w:firstRowLastColumn="0" w:lastRowFirstColumn="0" w:lastRowLastColumn="0"/>
            <w:tcW w:w="3642" w:type="dxa"/>
            <w:hideMark/>
          </w:tcPr>
          <w:p w:rsidRPr="0030375E" w:rsidR="0030375E" w:rsidP="0030375E" w:rsidRDefault="0030375E" w14:paraId="071276DA" w14:textId="77777777">
            <w:pPr>
              <w:spacing w:after="160" w:line="259" w:lineRule="auto"/>
              <w:rPr>
                <w:rFonts w:eastAsiaTheme="minorHAnsi"/>
                <w:kern w:val="2"/>
                <w14:ligatures w14:val="standardContextual"/>
              </w:rPr>
            </w:pPr>
            <w:r w:rsidRPr="0030375E">
              <w:rPr>
                <w:rFonts w:eastAsiaTheme="minorHAnsi"/>
                <w:kern w:val="2"/>
                <w14:ligatures w14:val="standardContextual"/>
              </w:rPr>
              <w:t>Impuesto Nacional al Carbono</w:t>
            </w:r>
          </w:p>
          <w:p w:rsidRPr="0030375E" w:rsidR="0030375E" w:rsidP="0030375E" w:rsidRDefault="0030375E" w14:paraId="6A664E5A" w14:textId="77777777">
            <w:pPr>
              <w:spacing w:after="160" w:line="259" w:lineRule="auto"/>
              <w:rPr>
                <w:rFonts w:eastAsiaTheme="minorHAnsi"/>
                <w:kern w:val="2"/>
                <w14:ligatures w14:val="standardContextual"/>
              </w:rPr>
            </w:pPr>
            <w:r w:rsidRPr="0030375E">
              <w:rPr>
                <w:rFonts w:eastAsiaTheme="minorHAnsi"/>
                <w:kern w:val="2"/>
                <w14:ligatures w14:val="standardContextual"/>
              </w:rPr>
              <w:t>Fondo para la Vida y la Biodiversidad</w:t>
            </w:r>
          </w:p>
        </w:tc>
        <w:tc>
          <w:tcPr>
            <w:tcW w:w="2713" w:type="dxa"/>
            <w:hideMark/>
          </w:tcPr>
          <w:p w:rsidRPr="0030375E" w:rsidR="0030375E" w:rsidP="0030375E" w:rsidRDefault="0030375E" w14:paraId="71D8C5A2" w14:textId="77777777">
            <w:pPr>
              <w:spacing w:after="160" w:line="259" w:lineRule="auto"/>
              <w:cnfStyle w:val="000000000000" w:firstRow="0" w:lastRow="0" w:firstColumn="0" w:lastColumn="0" w:oddVBand="0" w:evenVBand="0" w:oddHBand="0"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Artículo 221 (Parte IX) de la Ley 1819 de 2016</w:t>
            </w:r>
          </w:p>
          <w:p w:rsidRPr="0030375E" w:rsidR="0030375E" w:rsidP="0030375E" w:rsidRDefault="0030375E" w14:paraId="2422CA1F" w14:textId="77777777">
            <w:pPr>
              <w:spacing w:after="160" w:line="259" w:lineRule="auto"/>
              <w:cnfStyle w:val="000000000000" w:firstRow="0" w:lastRow="0" w:firstColumn="0" w:lastColumn="0" w:oddVBand="0" w:evenVBand="0" w:oddHBand="0"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Decreto 1648 de 2023</w:t>
            </w:r>
          </w:p>
        </w:tc>
        <w:tc>
          <w:tcPr>
            <w:tcW w:w="2483" w:type="dxa"/>
          </w:tcPr>
          <w:p w:rsidRPr="0030375E" w:rsidR="0030375E" w:rsidP="0030375E" w:rsidRDefault="0030375E" w14:paraId="65B0BAE3" w14:textId="77777777">
            <w:pPr>
              <w:spacing w:after="160" w:line="259" w:lineRule="auto"/>
              <w:cnfStyle w:val="000000000000" w:firstRow="0" w:lastRow="0" w:firstColumn="0" w:lastColumn="0" w:oddVBand="0" w:evenVBand="0" w:oddHBand="0"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Ministerio de Ambiente</w:t>
            </w:r>
          </w:p>
        </w:tc>
      </w:tr>
      <w:tr w:rsidRPr="0030375E" w:rsidR="0030375E" w:rsidTr="007C2539" w14:paraId="455E27C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42" w:type="dxa"/>
            <w:hideMark/>
          </w:tcPr>
          <w:p w:rsidRPr="0030375E" w:rsidR="0030375E" w:rsidP="0030375E" w:rsidRDefault="0030375E" w14:paraId="0804880E" w14:textId="77777777">
            <w:pPr>
              <w:spacing w:after="160" w:line="259" w:lineRule="auto"/>
              <w:jc w:val="both"/>
              <w:rPr>
                <w:rFonts w:eastAsiaTheme="minorHAnsi"/>
                <w:kern w:val="2"/>
                <w14:ligatures w14:val="standardContextual"/>
              </w:rPr>
            </w:pPr>
            <w:r w:rsidRPr="0030375E">
              <w:rPr>
                <w:rFonts w:eastAsiaTheme="minorHAnsi"/>
                <w:kern w:val="2"/>
                <w14:ligatures w14:val="standardContextual"/>
              </w:rPr>
              <w:t>Inversiones ambientales adicionales en las tarifas de los públicos domiciliarios</w:t>
            </w:r>
          </w:p>
        </w:tc>
        <w:tc>
          <w:tcPr>
            <w:tcW w:w="2713" w:type="dxa"/>
            <w:hideMark/>
          </w:tcPr>
          <w:p w:rsidRPr="0030375E" w:rsidR="0030375E" w:rsidP="0030375E" w:rsidRDefault="0030375E" w14:paraId="30E429B3" w14:textId="77777777">
            <w:pPr>
              <w:spacing w:after="160" w:line="259" w:lineRule="auto"/>
              <w:jc w:val="both"/>
              <w:cnfStyle w:val="000000100000" w:firstRow="0" w:lastRow="0" w:firstColumn="0" w:lastColumn="0" w:oddVBand="0" w:evenVBand="0" w:oddHBand="1"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Decreto 1207/18, Res. 874/18 y Res. 907 de 2019</w:t>
            </w:r>
          </w:p>
        </w:tc>
        <w:tc>
          <w:tcPr>
            <w:tcW w:w="2483" w:type="dxa"/>
          </w:tcPr>
          <w:p w:rsidRPr="0030375E" w:rsidR="0030375E" w:rsidP="0030375E" w:rsidRDefault="0030375E" w14:paraId="3C207CBD" w14:textId="77777777">
            <w:pPr>
              <w:spacing w:after="160" w:line="259" w:lineRule="auto"/>
              <w:jc w:val="both"/>
              <w:cnfStyle w:val="000000100000" w:firstRow="0" w:lastRow="0" w:firstColumn="0" w:lastColumn="0" w:oddVBand="0" w:evenVBand="0" w:oddHBand="1"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Empresas de Servicios Públicos</w:t>
            </w:r>
          </w:p>
        </w:tc>
      </w:tr>
      <w:tr w:rsidRPr="0030375E" w:rsidR="0030375E" w:rsidTr="007C2539" w14:paraId="1D02DB51" w14:textId="77777777">
        <w:tc>
          <w:tcPr>
            <w:cnfStyle w:val="001000000000" w:firstRow="0" w:lastRow="0" w:firstColumn="1" w:lastColumn="0" w:oddVBand="0" w:evenVBand="0" w:oddHBand="0" w:evenHBand="0" w:firstRowFirstColumn="0" w:firstRowLastColumn="0" w:lastRowFirstColumn="0" w:lastRowLastColumn="0"/>
            <w:tcW w:w="3642" w:type="dxa"/>
          </w:tcPr>
          <w:p w:rsidRPr="0030375E" w:rsidR="0030375E" w:rsidP="0030375E" w:rsidRDefault="0030375E" w14:paraId="48295503" w14:textId="77777777">
            <w:pPr>
              <w:spacing w:after="160" w:line="259" w:lineRule="auto"/>
              <w:jc w:val="both"/>
              <w:rPr>
                <w:rFonts w:eastAsiaTheme="minorHAnsi"/>
                <w:kern w:val="2"/>
                <w14:ligatures w14:val="standardContextual"/>
              </w:rPr>
            </w:pPr>
            <w:r w:rsidRPr="0030375E">
              <w:rPr>
                <w:rFonts w:eastAsiaTheme="minorHAnsi"/>
                <w:kern w:val="2"/>
                <w14:ligatures w14:val="standardContextual"/>
              </w:rPr>
              <w:t>Obras por impuestos</w:t>
            </w:r>
          </w:p>
          <w:p w:rsidRPr="0030375E" w:rsidR="0030375E" w:rsidP="0030375E" w:rsidRDefault="0030375E" w14:paraId="74AF2BC1" w14:textId="77777777">
            <w:pPr>
              <w:spacing w:after="160" w:line="259" w:lineRule="auto"/>
              <w:jc w:val="both"/>
              <w:rPr>
                <w:rFonts w:eastAsiaTheme="minorHAnsi"/>
                <w:kern w:val="2"/>
                <w14:ligatures w14:val="standardContextual"/>
              </w:rPr>
            </w:pPr>
            <w:r w:rsidRPr="0030375E">
              <w:rPr>
                <w:rFonts w:eastAsiaTheme="minorHAnsi"/>
                <w:kern w:val="2"/>
                <w14:ligatures w14:val="standardContextual"/>
              </w:rPr>
              <w:t xml:space="preserve">Inversión ambiental (PSA y Negocios Verdes) directa en la ejecución de proyectos en las Zonas Más Afectadas por el Conflicto Armado – ZOMAC </w:t>
            </w:r>
          </w:p>
        </w:tc>
        <w:tc>
          <w:tcPr>
            <w:tcW w:w="2713" w:type="dxa"/>
            <w:hideMark/>
          </w:tcPr>
          <w:p w:rsidRPr="0030375E" w:rsidR="0030375E" w:rsidP="0030375E" w:rsidRDefault="0030375E" w14:paraId="7F2E78E1" w14:textId="77777777">
            <w:pPr>
              <w:spacing w:after="160" w:line="259" w:lineRule="auto"/>
              <w:jc w:val="both"/>
              <w:cnfStyle w:val="000000000000" w:firstRow="0" w:lastRow="0" w:firstColumn="0" w:lastColumn="0" w:oddVBand="0" w:evenVBand="0" w:oddHBand="0"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Art. 238 Ley 1819/16</w:t>
            </w:r>
          </w:p>
        </w:tc>
        <w:tc>
          <w:tcPr>
            <w:tcW w:w="2483" w:type="dxa"/>
          </w:tcPr>
          <w:p w:rsidRPr="0030375E" w:rsidR="0030375E" w:rsidP="0030375E" w:rsidRDefault="0030375E" w14:paraId="34E053FD" w14:textId="77777777">
            <w:pPr>
              <w:spacing w:after="160" w:line="259" w:lineRule="auto"/>
              <w:jc w:val="both"/>
              <w:cnfStyle w:val="000000000000" w:firstRow="0" w:lastRow="0" w:firstColumn="0" w:lastColumn="0" w:oddVBand="0" w:evenVBand="0" w:oddHBand="0"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Sector Público con autorización de Minambiente</w:t>
            </w:r>
          </w:p>
        </w:tc>
      </w:tr>
      <w:tr w:rsidRPr="0030375E" w:rsidR="0030375E" w:rsidTr="007C2539" w14:paraId="69B031C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42" w:type="dxa"/>
          </w:tcPr>
          <w:p w:rsidRPr="0030375E" w:rsidR="0030375E" w:rsidP="0030375E" w:rsidRDefault="0030375E" w14:paraId="11A47411" w14:textId="77777777">
            <w:pPr>
              <w:spacing w:after="160" w:line="259" w:lineRule="auto"/>
              <w:jc w:val="both"/>
              <w:rPr>
                <w:rFonts w:eastAsiaTheme="minorHAnsi"/>
                <w:kern w:val="2"/>
                <w14:ligatures w14:val="standardContextual"/>
              </w:rPr>
            </w:pPr>
            <w:r w:rsidRPr="0030375E">
              <w:rPr>
                <w:rFonts w:eastAsiaTheme="minorHAnsi"/>
                <w:kern w:val="2"/>
                <w14:ligatures w14:val="standardContextual"/>
              </w:rPr>
              <w:t xml:space="preserve">Sistema General de Regalías </w:t>
            </w:r>
          </w:p>
          <w:p w:rsidRPr="0030375E" w:rsidR="0030375E" w:rsidP="0030375E" w:rsidRDefault="0030375E" w14:paraId="6D056825" w14:textId="77777777">
            <w:pPr>
              <w:spacing w:after="160" w:line="259" w:lineRule="auto"/>
              <w:jc w:val="both"/>
              <w:rPr>
                <w:rFonts w:eastAsiaTheme="minorHAnsi"/>
                <w:kern w:val="2"/>
                <w14:ligatures w14:val="standardContextual"/>
              </w:rPr>
            </w:pPr>
            <w:r w:rsidRPr="0030375E">
              <w:rPr>
                <w:rFonts w:eastAsiaTheme="minorHAnsi"/>
                <w:kern w:val="2"/>
                <w14:ligatures w14:val="standardContextual"/>
              </w:rPr>
              <w:t>Asignación Ambiental</w:t>
            </w:r>
          </w:p>
        </w:tc>
        <w:tc>
          <w:tcPr>
            <w:tcW w:w="2713" w:type="dxa"/>
          </w:tcPr>
          <w:p w:rsidRPr="0030375E" w:rsidR="0030375E" w:rsidP="0030375E" w:rsidRDefault="0030375E" w14:paraId="03794796" w14:textId="77777777">
            <w:pPr>
              <w:spacing w:after="160" w:line="259" w:lineRule="auto"/>
              <w:jc w:val="both"/>
              <w:cnfStyle w:val="000000100000" w:firstRow="0" w:lastRow="0" w:firstColumn="0" w:lastColumn="0" w:oddVBand="0" w:evenVBand="0" w:oddHBand="1" w:evenHBand="0" w:firstRowFirstColumn="0" w:firstRowLastColumn="0" w:lastRowFirstColumn="0" w:lastRowLastColumn="0"/>
              <w:rPr>
                <w:rFonts w:eastAsiaTheme="minorHAnsi"/>
                <w:kern w:val="2"/>
                <w:sz w:val="18"/>
                <w:szCs w:val="18"/>
                <w14:ligatures w14:val="standardContextual"/>
              </w:rPr>
            </w:pPr>
          </w:p>
        </w:tc>
        <w:tc>
          <w:tcPr>
            <w:tcW w:w="2483" w:type="dxa"/>
          </w:tcPr>
          <w:p w:rsidRPr="0030375E" w:rsidR="0030375E" w:rsidP="0030375E" w:rsidRDefault="0030375E" w14:paraId="5EBBE795" w14:textId="77777777">
            <w:pPr>
              <w:spacing w:after="160" w:line="259" w:lineRule="auto"/>
              <w:jc w:val="both"/>
              <w:cnfStyle w:val="000000100000" w:firstRow="0" w:lastRow="0" w:firstColumn="0" w:lastColumn="0" w:oddVBand="0" w:evenVBand="0" w:oddHBand="1"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Ministerio de Ambiente</w:t>
            </w:r>
          </w:p>
        </w:tc>
      </w:tr>
      <w:tr w:rsidRPr="0030375E" w:rsidR="0030375E" w:rsidTr="007C2539" w14:paraId="301AF04E" w14:textId="77777777">
        <w:tc>
          <w:tcPr>
            <w:cnfStyle w:val="001000000000" w:firstRow="0" w:lastRow="0" w:firstColumn="1" w:lastColumn="0" w:oddVBand="0" w:evenVBand="0" w:oddHBand="0" w:evenHBand="0" w:firstRowFirstColumn="0" w:firstRowLastColumn="0" w:lastRowFirstColumn="0" w:lastRowLastColumn="0"/>
            <w:tcW w:w="3642" w:type="dxa"/>
            <w:hideMark/>
          </w:tcPr>
          <w:p w:rsidRPr="0030375E" w:rsidR="0030375E" w:rsidP="0030375E" w:rsidRDefault="0030375E" w14:paraId="277228F6" w14:textId="77777777">
            <w:pPr>
              <w:spacing w:after="160" w:line="259" w:lineRule="auto"/>
              <w:jc w:val="both"/>
              <w:rPr>
                <w:rFonts w:eastAsiaTheme="minorHAnsi"/>
                <w:kern w:val="2"/>
                <w14:ligatures w14:val="standardContextual"/>
              </w:rPr>
            </w:pPr>
            <w:r w:rsidRPr="0030375E">
              <w:rPr>
                <w:rFonts w:eastAsiaTheme="minorHAnsi"/>
                <w:kern w:val="2"/>
                <w14:ligatures w14:val="standardContextual"/>
              </w:rPr>
              <w:t>Fondos especiales para la paz en el marco del Acuerdo Final</w:t>
            </w:r>
          </w:p>
        </w:tc>
        <w:tc>
          <w:tcPr>
            <w:tcW w:w="2713" w:type="dxa"/>
            <w:hideMark/>
          </w:tcPr>
          <w:p w:rsidRPr="0030375E" w:rsidR="0030375E" w:rsidP="0030375E" w:rsidRDefault="0030375E" w14:paraId="619A2966" w14:textId="77777777">
            <w:pPr>
              <w:spacing w:after="160" w:line="259" w:lineRule="auto"/>
              <w:jc w:val="both"/>
              <w:cnfStyle w:val="000000000000" w:firstRow="0" w:lastRow="0" w:firstColumn="0" w:lastColumn="0" w:oddVBand="0" w:evenVBand="0" w:oddHBand="0"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Fondo Colombia Sostenible (crédito BID)</w:t>
            </w:r>
          </w:p>
        </w:tc>
        <w:tc>
          <w:tcPr>
            <w:tcW w:w="2483" w:type="dxa"/>
          </w:tcPr>
          <w:p w:rsidRPr="0030375E" w:rsidR="0030375E" w:rsidP="0030375E" w:rsidRDefault="0030375E" w14:paraId="72332B8F" w14:textId="77777777">
            <w:pPr>
              <w:spacing w:after="160" w:line="259" w:lineRule="auto"/>
              <w:jc w:val="both"/>
              <w:cnfStyle w:val="000000000000" w:firstRow="0" w:lastRow="0" w:firstColumn="0" w:lastColumn="0" w:oddVBand="0" w:evenVBand="0" w:oddHBand="0"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Ministerio de Ambiente</w:t>
            </w:r>
          </w:p>
        </w:tc>
      </w:tr>
      <w:tr w:rsidRPr="0030375E" w:rsidR="0030375E" w:rsidTr="007C2539" w14:paraId="37C977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42" w:type="dxa"/>
            <w:hideMark/>
          </w:tcPr>
          <w:p w:rsidRPr="0030375E" w:rsidR="0030375E" w:rsidP="0030375E" w:rsidRDefault="0030375E" w14:paraId="1481B4C8" w14:textId="77777777">
            <w:pPr>
              <w:spacing w:after="160" w:line="259" w:lineRule="auto"/>
              <w:jc w:val="both"/>
              <w:rPr>
                <w:rFonts w:eastAsiaTheme="minorHAnsi"/>
                <w:kern w:val="2"/>
                <w14:ligatures w14:val="standardContextual"/>
              </w:rPr>
            </w:pPr>
            <w:r w:rsidRPr="0030375E">
              <w:rPr>
                <w:rFonts w:eastAsiaTheme="minorHAnsi"/>
                <w:kern w:val="2"/>
                <w14:ligatures w14:val="standardContextual"/>
              </w:rPr>
              <w:t>Recursos asignados en los planes acción, plurianuales y operativos anuales de inversión – POAI</w:t>
            </w:r>
          </w:p>
        </w:tc>
        <w:tc>
          <w:tcPr>
            <w:tcW w:w="2713" w:type="dxa"/>
          </w:tcPr>
          <w:p w:rsidRPr="0030375E" w:rsidR="0030375E" w:rsidP="0030375E" w:rsidRDefault="0030375E" w14:paraId="4F012B55" w14:textId="77777777">
            <w:pPr>
              <w:spacing w:after="160" w:line="259" w:lineRule="auto"/>
              <w:jc w:val="both"/>
              <w:cnfStyle w:val="000000100000" w:firstRow="0" w:lastRow="0" w:firstColumn="0" w:lastColumn="0" w:oddVBand="0" w:evenVBand="0" w:oddHBand="1" w:evenHBand="0" w:firstRowFirstColumn="0" w:firstRowLastColumn="0" w:lastRowFirstColumn="0" w:lastRowLastColumn="0"/>
              <w:rPr>
                <w:rFonts w:eastAsiaTheme="minorHAnsi"/>
                <w:kern w:val="2"/>
                <w:sz w:val="18"/>
                <w:szCs w:val="18"/>
                <w14:ligatures w14:val="standardContextual"/>
              </w:rPr>
            </w:pPr>
          </w:p>
        </w:tc>
        <w:tc>
          <w:tcPr>
            <w:tcW w:w="2483" w:type="dxa"/>
          </w:tcPr>
          <w:p w:rsidRPr="0030375E" w:rsidR="0030375E" w:rsidP="0030375E" w:rsidRDefault="0030375E" w14:paraId="7AE82B13" w14:textId="77777777">
            <w:pPr>
              <w:spacing w:after="160" w:line="259" w:lineRule="auto"/>
              <w:jc w:val="both"/>
              <w:cnfStyle w:val="000000100000" w:firstRow="0" w:lastRow="0" w:firstColumn="0" w:lastColumn="0" w:oddVBand="0" w:evenVBand="0" w:oddHBand="1"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Corporaciones Regionales</w:t>
            </w:r>
          </w:p>
        </w:tc>
      </w:tr>
      <w:tr w:rsidRPr="0030375E" w:rsidR="0030375E" w:rsidTr="007C2539" w14:paraId="401FB3A2" w14:textId="77777777">
        <w:tc>
          <w:tcPr>
            <w:cnfStyle w:val="001000000000" w:firstRow="0" w:lastRow="0" w:firstColumn="1" w:lastColumn="0" w:oddVBand="0" w:evenVBand="0" w:oddHBand="0" w:evenHBand="0" w:firstRowFirstColumn="0" w:firstRowLastColumn="0" w:lastRowFirstColumn="0" w:lastRowLastColumn="0"/>
            <w:tcW w:w="3642" w:type="dxa"/>
            <w:hideMark/>
          </w:tcPr>
          <w:p w:rsidRPr="0030375E" w:rsidR="0030375E" w:rsidP="0030375E" w:rsidRDefault="0030375E" w14:paraId="4708D5DE" w14:textId="77777777">
            <w:pPr>
              <w:spacing w:after="160" w:line="259" w:lineRule="auto"/>
              <w:jc w:val="both"/>
              <w:rPr>
                <w:rFonts w:eastAsiaTheme="minorHAnsi"/>
                <w:kern w:val="2"/>
                <w14:ligatures w14:val="standardContextual"/>
              </w:rPr>
            </w:pPr>
            <w:r w:rsidRPr="0030375E">
              <w:rPr>
                <w:rFonts w:eastAsiaTheme="minorHAnsi"/>
                <w:kern w:val="2"/>
                <w14:ligatures w14:val="standardContextual"/>
              </w:rPr>
              <w:t>Aportes voluntarios de personas naturales o jurídicas</w:t>
            </w:r>
          </w:p>
        </w:tc>
        <w:tc>
          <w:tcPr>
            <w:tcW w:w="2713" w:type="dxa"/>
          </w:tcPr>
          <w:p w:rsidRPr="0030375E" w:rsidR="0030375E" w:rsidP="0030375E" w:rsidRDefault="0030375E" w14:paraId="39018B67" w14:textId="77777777">
            <w:pPr>
              <w:spacing w:after="160" w:line="259" w:lineRule="auto"/>
              <w:jc w:val="both"/>
              <w:cnfStyle w:val="000000000000" w:firstRow="0" w:lastRow="0" w:firstColumn="0" w:lastColumn="0" w:oddVBand="0" w:evenVBand="0" w:oddHBand="0" w:evenHBand="0" w:firstRowFirstColumn="0" w:firstRowLastColumn="0" w:lastRowFirstColumn="0" w:lastRowLastColumn="0"/>
              <w:rPr>
                <w:rFonts w:eastAsiaTheme="minorHAnsi"/>
                <w:kern w:val="2"/>
                <w:sz w:val="22"/>
                <w:szCs w:val="22"/>
                <w14:ligatures w14:val="standardContextual"/>
              </w:rPr>
            </w:pPr>
          </w:p>
        </w:tc>
        <w:tc>
          <w:tcPr>
            <w:tcW w:w="2483" w:type="dxa"/>
          </w:tcPr>
          <w:p w:rsidRPr="0030375E" w:rsidR="0030375E" w:rsidP="0030375E" w:rsidRDefault="0030375E" w14:paraId="0B4DBB86" w14:textId="77777777">
            <w:pPr>
              <w:spacing w:after="160" w:line="259" w:lineRule="auto"/>
              <w:jc w:val="both"/>
              <w:cnfStyle w:val="000000000000" w:firstRow="0" w:lastRow="0" w:firstColumn="0" w:lastColumn="0" w:oddVBand="0" w:evenVBand="0" w:oddHBand="0" w:evenHBand="0" w:firstRowFirstColumn="0" w:firstRowLastColumn="0" w:lastRowFirstColumn="0" w:lastRowLastColumn="0"/>
              <w:rPr>
                <w:rFonts w:eastAsiaTheme="minorHAnsi"/>
                <w:kern w:val="2"/>
                <w:sz w:val="18"/>
                <w:szCs w:val="18"/>
                <w14:ligatures w14:val="standardContextual"/>
              </w:rPr>
            </w:pPr>
            <w:r w:rsidRPr="0030375E">
              <w:rPr>
                <w:rFonts w:eastAsiaTheme="minorHAnsi"/>
                <w:kern w:val="2"/>
                <w:sz w:val="18"/>
                <w:szCs w:val="18"/>
                <w14:ligatures w14:val="standardContextual"/>
              </w:rPr>
              <w:t>Sector Privado</w:t>
            </w:r>
          </w:p>
        </w:tc>
      </w:tr>
    </w:tbl>
    <w:p w:rsidRPr="007C2539" w:rsidR="0030375E" w:rsidP="00EF6A61" w:rsidRDefault="0030375E" w14:paraId="274A84E5" w14:textId="4AACDAEB">
      <w:pPr>
        <w:jc w:val="center"/>
        <w:rPr>
          <w:rFonts w:ascii="Verdana" w:hAnsi="Verdana"/>
          <w:i/>
          <w:iCs/>
          <w:sz w:val="18"/>
          <w:szCs w:val="18"/>
        </w:rPr>
      </w:pPr>
      <w:r w:rsidRPr="007C2539">
        <w:rPr>
          <w:rFonts w:ascii="Verdana" w:hAnsi="Verdana"/>
          <w:i/>
          <w:iCs/>
          <w:sz w:val="18"/>
          <w:szCs w:val="18"/>
        </w:rPr>
        <w:t>Fuente: Ministerio de Ambiente. Oficina de Negocios Verdes. 2025</w:t>
      </w:r>
    </w:p>
    <w:p w:rsidRPr="00EF6A61" w:rsidR="00EF6A61" w:rsidP="00EF6A61" w:rsidRDefault="00EF6A61" w14:paraId="6457424F" w14:textId="77777777">
      <w:pPr>
        <w:jc w:val="center"/>
        <w:rPr>
          <w:rFonts w:ascii="Verdana" w:hAnsi="Verdana"/>
          <w:i/>
          <w:iCs/>
        </w:rPr>
      </w:pPr>
    </w:p>
    <w:p w:rsidRPr="0030375E" w:rsidR="0030375E" w:rsidP="0030375E" w:rsidRDefault="0030375E" w14:paraId="7BD42010" w14:textId="77777777">
      <w:pPr>
        <w:jc w:val="both"/>
        <w:rPr>
          <w:rFonts w:ascii="Verdana" w:hAnsi="Verdana"/>
          <w:sz w:val="22"/>
          <w:szCs w:val="22"/>
        </w:rPr>
      </w:pPr>
      <w:r w:rsidRPr="0030375E">
        <w:rPr>
          <w:rFonts w:ascii="Verdana" w:hAnsi="Verdana"/>
          <w:sz w:val="22"/>
          <w:szCs w:val="22"/>
        </w:rPr>
        <w:t>Como se puede observar estas fuentes dependen de actores que hacen parte del Sistema Nacional Ambiental – SINA, particularmente, las Corporaciones Regionales, los departamentos y municipios y el sector privado, en cumplimiento de obligaciones derivadas de las licencias ambientales.</w:t>
      </w:r>
    </w:p>
    <w:p w:rsidR="0030375E" w:rsidP="0030375E" w:rsidRDefault="0030375E" w14:paraId="52D35B3C" w14:textId="6D6C9F68">
      <w:pPr>
        <w:jc w:val="both"/>
        <w:rPr>
          <w:rFonts w:ascii="Verdana" w:hAnsi="Verdana"/>
          <w:sz w:val="22"/>
          <w:szCs w:val="22"/>
        </w:rPr>
      </w:pPr>
      <w:r w:rsidRPr="0030375E">
        <w:rPr>
          <w:rFonts w:ascii="Verdana" w:hAnsi="Verdana"/>
          <w:sz w:val="22"/>
          <w:szCs w:val="22"/>
        </w:rPr>
        <w:t xml:space="preserve">Para el caso de Bogotá D.C. aplican, en términos generales, las mismas fuentes de recursos que aplican a las Corporaciones, tales como las tasas por uso de agua y retributivas; y también las que corresponden a los entes territoriales, dentro de las que se destaca el 1% de los ingresos corrientes; las cuales </w:t>
      </w:r>
      <w:r w:rsidRPr="0030375E">
        <w:rPr>
          <w:rFonts w:ascii="Verdana" w:hAnsi="Verdana"/>
          <w:sz w:val="22"/>
          <w:szCs w:val="22"/>
        </w:rPr>
        <w:lastRenderedPageBreak/>
        <w:t>alcanzan montos significativos dados el tamaño y la actividad económica de la ciudad.</w:t>
      </w:r>
    </w:p>
    <w:p w:rsidR="0052768E" w:rsidP="0052768E" w:rsidRDefault="0030375E" w14:paraId="1E11DC23" w14:textId="7138299C">
      <w:pPr>
        <w:pStyle w:val="Estilo5"/>
      </w:pPr>
      <w:r w:rsidRPr="00EF6A61">
        <w:t>Sector agropecuario</w:t>
      </w:r>
    </w:p>
    <w:p w:rsidRPr="0052768E" w:rsidR="0052768E" w:rsidP="0052768E" w:rsidRDefault="0052768E" w14:paraId="12A14534" w14:textId="77777777">
      <w:pPr>
        <w:pStyle w:val="Ttulo3"/>
      </w:pPr>
    </w:p>
    <w:p w:rsidRPr="0030375E" w:rsidR="0030375E" w:rsidP="0030375E" w:rsidRDefault="0030375E" w14:paraId="4C3FB3C4" w14:textId="77777777">
      <w:pPr>
        <w:jc w:val="both"/>
        <w:rPr>
          <w:rFonts w:ascii="Verdana" w:hAnsi="Verdana"/>
          <w:sz w:val="22"/>
          <w:szCs w:val="22"/>
        </w:rPr>
      </w:pPr>
      <w:r w:rsidRPr="0030375E">
        <w:rPr>
          <w:rFonts w:ascii="Verdana" w:hAnsi="Verdana"/>
          <w:sz w:val="22"/>
          <w:szCs w:val="22"/>
        </w:rPr>
        <w:t>El sector agropecuario ha diseñado políticas e instrumentos dirigidos al fortalecimiento de la producción campesina sostenible; que apoyan ; dentro de las que se destacan, la Política Nacional de Agroecología, adoptada mediante la Resolución 331 de 2024, que tiene como objetivo consolidar sistemas alimentarios territoriales sostenibles, resilientes y equitativos, garantizando la soberanía alimentaria y la conservación de la biodiversidad; y la Agricultura Familiar, Étnica y Comunitaria (ACFEC), definida como la combinación de actividades agropecuarias con saberes tradicionales, garantizando la soberanía alimentaria y la autonomía de los territorios (Resolución 016 de 2025).</w:t>
      </w:r>
    </w:p>
    <w:p w:rsidRPr="0030375E" w:rsidR="0052768E" w:rsidP="0030375E" w:rsidRDefault="0052768E" w14:paraId="28B6D07A" w14:textId="5C31AE3B">
      <w:pPr>
        <w:jc w:val="both"/>
        <w:rPr>
          <w:rFonts w:ascii="Verdana" w:hAnsi="Verdana"/>
          <w:sz w:val="22"/>
          <w:szCs w:val="22"/>
        </w:rPr>
      </w:pPr>
      <w:r w:rsidRPr="4DB08123" w:rsidR="6B51E3DD">
        <w:rPr>
          <w:rFonts w:ascii="Verdana" w:hAnsi="Verdana"/>
          <w:sz w:val="22"/>
          <w:szCs w:val="22"/>
        </w:rPr>
        <w:t>Además, cuenta con instrumentos financieros como las líneas de crédito de fomento agropecuario, las Líneas Especiales de Crédito – LEC, el Incentivo a la Capitalización Rural- ICR, el Fondo Agropecuario de Garantías – FAG, el Incentivo al seguro agropecuario – ISA, el Fondo para el acceso a insumos agropecuarios – FAIA, entre otros; y el que se pueden incorporar al modelo de apoyo integral a los productores en el marco de los procesos de reconversión y sustitución productiva.</w:t>
      </w:r>
    </w:p>
    <w:p w:rsidR="0030375E" w:rsidP="00C75E01" w:rsidRDefault="0030375E" w14:paraId="334FF1C7" w14:textId="08689AEF">
      <w:pPr>
        <w:pStyle w:val="Estilo5"/>
      </w:pPr>
      <w:r w:rsidRPr="00EF6A61">
        <w:t>Sector minero</w:t>
      </w:r>
    </w:p>
    <w:p w:rsidRPr="0052768E" w:rsidR="0052768E" w:rsidP="0052768E" w:rsidRDefault="0052768E" w14:paraId="300C88A9" w14:textId="77777777">
      <w:pPr>
        <w:pStyle w:val="Ttulo3"/>
      </w:pPr>
    </w:p>
    <w:p w:rsidR="002421CE" w:rsidP="0030375E" w:rsidRDefault="0030375E" w14:paraId="7B93C0BA" w14:textId="77777777">
      <w:pPr>
        <w:jc w:val="both"/>
        <w:rPr>
          <w:rFonts w:ascii="Verdana" w:hAnsi="Verdana"/>
          <w:sz w:val="22"/>
          <w:szCs w:val="22"/>
        </w:rPr>
      </w:pPr>
      <w:r w:rsidRPr="0030375E">
        <w:rPr>
          <w:rFonts w:ascii="Verdana" w:hAnsi="Verdana"/>
          <w:sz w:val="22"/>
          <w:szCs w:val="22"/>
        </w:rPr>
        <w:t>Sector minero debe desarrollar en cumplimiento del principio de prevención para evitar la irrogación de daño ambiental, en el marco del Modelo de Financiación del CPJSB, el sector minero debe contribuir a la protección del ecosistema mediante la financiación de programas de reconversión y sustitución productiva, restauración ambiental y fortalecimiento de alternativas económicas sostenibles para las comunidades mineras tradicionales.</w:t>
      </w:r>
    </w:p>
    <w:p w:rsidR="0052768E" w:rsidP="0030375E" w:rsidRDefault="0052768E" w14:paraId="10CA9F8C" w14:textId="6359DA83">
      <w:pPr>
        <w:jc w:val="both"/>
      </w:pPr>
      <w:r w:rsidRPr="4DB08123" w:rsidR="6B51E3DD">
        <w:rPr>
          <w:rFonts w:ascii="Verdana" w:hAnsi="Verdana"/>
          <w:sz w:val="22"/>
          <w:szCs w:val="22"/>
        </w:rPr>
        <w:t xml:space="preserve">En cumplimiento de la Sentencia T-361 de 2017 y la Ley 1930 de 2018, estas acciones deben desarrollarse de manera articulada entre el Ministerio de Ambiente y Desarrollo Sostenible, el Ministerio de Minas y Energía, la Agencia Nacional de Minería (ANM), las autoridades ambientales y las entidades territoriales. </w:t>
      </w:r>
      <w:r w:rsidRPr="4DB08123" w:rsidR="6B51E3DD">
        <w:rPr>
          <w:rFonts w:ascii="Verdana" w:hAnsi="Verdana"/>
          <w:sz w:val="22"/>
          <w:szCs w:val="22"/>
        </w:rPr>
        <w:t xml:space="preserve">Entre los principales instrumentos de financiación se destacan las compensaciones ambientales, la inversión forzosa del 1 %, los programas de restauración ecológica, los créditos blandos, la capacitación para la reconversión </w:t>
      </w:r>
      <w:r w:rsidRPr="4DB08123" w:rsidR="6B51E3DD">
        <w:rPr>
          <w:rFonts w:ascii="Verdana" w:hAnsi="Verdana"/>
          <w:sz w:val="22"/>
          <w:szCs w:val="22"/>
        </w:rPr>
        <w:t>laboral y el apoyo a negocios verdes, orientados a garantizar la conservación del páramo y el bienestar de las comunidades.</w:t>
      </w:r>
    </w:p>
    <w:p w:rsidR="4DB08123" w:rsidP="4DB08123" w:rsidRDefault="4DB08123" w14:paraId="63D8EDB6" w14:textId="5FD221BD">
      <w:pPr>
        <w:jc w:val="both"/>
        <w:rPr>
          <w:rFonts w:ascii="Verdana" w:hAnsi="Verdana"/>
          <w:sz w:val="22"/>
          <w:szCs w:val="22"/>
        </w:rPr>
      </w:pPr>
    </w:p>
    <w:p w:rsidR="0030375E" w:rsidP="00C75E01" w:rsidRDefault="0030375E" w14:paraId="6AF7C842" w14:textId="485774EE">
      <w:pPr>
        <w:pStyle w:val="Estilo5"/>
      </w:pPr>
      <w:r w:rsidRPr="00EF6A61">
        <w:t>Sector Privado</w:t>
      </w:r>
    </w:p>
    <w:p w:rsidRPr="0052768E" w:rsidR="0052768E" w:rsidP="0052768E" w:rsidRDefault="0052768E" w14:paraId="5E2DBBB4" w14:textId="77777777">
      <w:pPr>
        <w:pStyle w:val="Ttulo3"/>
      </w:pPr>
    </w:p>
    <w:p w:rsidR="002421CE" w:rsidP="0030375E" w:rsidRDefault="002421CE" w14:paraId="25A41FF6" w14:textId="4CFB5742">
      <w:pPr>
        <w:jc w:val="both"/>
      </w:pPr>
      <w:r w:rsidRPr="4DB08123" w:rsidR="6B51E3DD">
        <w:rPr>
          <w:rFonts w:ascii="Verdana" w:hAnsi="Verdana"/>
          <w:sz w:val="22"/>
          <w:szCs w:val="22"/>
        </w:rPr>
        <w:t>Beneficiario directo de los servicios ecosistémicos (especialmente el recurso hídrico) y con obligaciones ambientales derivadas de licencias ambientales y demás instrumentos de control. Incluye empresas de servicios públicos, generación de energía, industrias y el sector turístico, con potencial para el desarrollo de ecoturismo.</w:t>
      </w:r>
    </w:p>
    <w:p w:rsidR="4DB08123" w:rsidP="4DB08123" w:rsidRDefault="4DB08123" w14:paraId="75D88FB6" w14:textId="57E06B04">
      <w:pPr>
        <w:jc w:val="both"/>
        <w:rPr>
          <w:rFonts w:ascii="Verdana" w:hAnsi="Verdana"/>
          <w:sz w:val="22"/>
          <w:szCs w:val="22"/>
        </w:rPr>
      </w:pPr>
    </w:p>
    <w:p w:rsidR="0030375E" w:rsidP="00C75E01" w:rsidRDefault="0030375E" w14:paraId="2AF3A136" w14:textId="6B72A561">
      <w:pPr>
        <w:pStyle w:val="Estilo4"/>
      </w:pPr>
      <w:bookmarkStart w:name="_Toc234617863" w:id="20"/>
      <w:bookmarkStart w:name="_Toc234618990" w:id="21"/>
      <w:r w:rsidRPr="00EF6A61">
        <w:t>Necesidades de Financiación</w:t>
      </w:r>
      <w:bookmarkEnd w:id="20"/>
      <w:bookmarkEnd w:id="21"/>
      <w:r w:rsidRPr="00EF6A61" w:rsidR="002421CE">
        <w:t xml:space="preserve"> </w:t>
      </w:r>
    </w:p>
    <w:p w:rsidRPr="00EF6A61" w:rsidR="00C75E01" w:rsidP="00C75E01" w:rsidRDefault="00C75E01" w14:paraId="283F58CD" w14:textId="77777777">
      <w:pPr>
        <w:pStyle w:val="Estilo4"/>
        <w:numPr>
          <w:ilvl w:val="0"/>
          <w:numId w:val="0"/>
        </w:numPr>
        <w:ind w:left="1440" w:hanging="720"/>
      </w:pPr>
    </w:p>
    <w:p w:rsidRPr="0030375E" w:rsidR="0030375E" w:rsidP="0030375E" w:rsidRDefault="0030375E" w14:paraId="40257887" w14:textId="77777777">
      <w:pPr>
        <w:jc w:val="both"/>
        <w:rPr>
          <w:rFonts w:ascii="Verdana" w:hAnsi="Verdana"/>
          <w:sz w:val="22"/>
          <w:szCs w:val="22"/>
        </w:rPr>
      </w:pPr>
      <w:r w:rsidRPr="0030375E">
        <w:rPr>
          <w:rFonts w:ascii="Verdana" w:hAnsi="Verdana"/>
          <w:sz w:val="22"/>
          <w:szCs w:val="22"/>
        </w:rPr>
        <w:t xml:space="preserve">Para garantizar la sostenibilidad económica de la gestión ambiental del páramo, como indica la Sentencia T – 361 de 2017, se requieren inversiones en actividades de conservación y restauración, reconversión y sustitución productiva, educación ambiental y planificación, entre otras, que garanticen la generación de los servicios ambientales del Páramo. </w:t>
      </w:r>
    </w:p>
    <w:p w:rsidRPr="0030375E" w:rsidR="0030375E" w:rsidP="0030375E" w:rsidRDefault="0030375E" w14:paraId="788D99D9" w14:textId="77777777">
      <w:pPr>
        <w:jc w:val="both"/>
        <w:rPr>
          <w:rFonts w:ascii="Verdana" w:hAnsi="Verdana"/>
          <w:sz w:val="22"/>
          <w:szCs w:val="22"/>
        </w:rPr>
      </w:pPr>
      <w:r w:rsidRPr="0030375E">
        <w:rPr>
          <w:rFonts w:ascii="Verdana" w:hAnsi="Verdana"/>
          <w:sz w:val="22"/>
          <w:szCs w:val="22"/>
        </w:rPr>
        <w:t>En cuanto a conservación y restauración, se deben considerar dentro del modelo recursos para mantener las áreas que están conservadas y preservarlas con mecanismos como los acuerdos de conservación con las comunidades. También, deben incluirse recursos para restaurar las zonas dentro de estas áreas que presenten alto grado de deterioro.</w:t>
      </w:r>
    </w:p>
    <w:p w:rsidRPr="0030375E" w:rsidR="0030375E" w:rsidP="0030375E" w:rsidRDefault="0030375E" w14:paraId="6B540C9F" w14:textId="77777777">
      <w:pPr>
        <w:jc w:val="both"/>
        <w:rPr>
          <w:rFonts w:ascii="Verdana" w:hAnsi="Verdana"/>
          <w:sz w:val="22"/>
          <w:szCs w:val="22"/>
        </w:rPr>
      </w:pPr>
      <w:r w:rsidRPr="0030375E">
        <w:rPr>
          <w:rFonts w:ascii="Verdana" w:hAnsi="Verdana"/>
          <w:sz w:val="22"/>
          <w:szCs w:val="22"/>
        </w:rPr>
        <w:t xml:space="preserve">De la misma manera, deben incluirse recursos para la compra de predios y saneamiento predial, es importante tener en cuenta que los recursos para estas actividades no corresponden solamente al sector ambiental, sino que deben incorporarse entidades como la Agencia Nacional de Tierras y otras entidades del Sector Agropecuario. </w:t>
      </w:r>
    </w:p>
    <w:p w:rsidRPr="0030375E" w:rsidR="0030375E" w:rsidP="0030375E" w:rsidRDefault="0030375E" w14:paraId="12751418" w14:textId="77777777">
      <w:pPr>
        <w:jc w:val="both"/>
        <w:rPr>
          <w:rFonts w:ascii="Verdana" w:hAnsi="Verdana"/>
          <w:sz w:val="22"/>
          <w:szCs w:val="22"/>
        </w:rPr>
      </w:pPr>
      <w:r w:rsidRPr="0030375E">
        <w:rPr>
          <w:rFonts w:ascii="Verdana" w:hAnsi="Verdana"/>
          <w:sz w:val="22"/>
          <w:szCs w:val="22"/>
        </w:rPr>
        <w:t>Asociado a la compra de predios, es de destacar que el IGAC en coordinación con Minambiente expidió la Resolución 953 de 2025, que cumpliendo la orden del artículo 8 de la Ley 1930 de 2018, incluye un componente ambiental en los avalúos de los predios de páramos que considera su grado de conservación y que debe ser tenido en cuenta cuando los entes públicos, ya sean entes territoriales o autoridades ambientales adquieran predios para conservación en áreas estratégicas.</w:t>
      </w:r>
    </w:p>
    <w:p w:rsidRPr="0030375E" w:rsidR="0030375E" w:rsidP="0030375E" w:rsidRDefault="0030375E" w14:paraId="30909896" w14:textId="77777777">
      <w:pPr>
        <w:jc w:val="both"/>
        <w:rPr>
          <w:rFonts w:ascii="Verdana" w:hAnsi="Verdana"/>
          <w:sz w:val="22"/>
          <w:szCs w:val="22"/>
        </w:rPr>
      </w:pPr>
      <w:r w:rsidRPr="0030375E">
        <w:rPr>
          <w:rFonts w:ascii="Verdana" w:hAnsi="Verdana"/>
          <w:sz w:val="22"/>
          <w:szCs w:val="22"/>
        </w:rPr>
        <w:lastRenderedPageBreak/>
        <w:t>Dentro de las necesidades de financiación también debe considerarse, la reconversión y sustitución productiva, que fue priorizada por la Corte Constitucional en la Sentencia T 361 de 2017 y que genera un importante conflicto socioambiental en las áreas de páramo; en cuyo marco deben desarrollarse actividades de capacitación, asistencia técnica, extensión agropecuaria e investigación entre otras; incluyendo los incentivos de los sectores ambiental y agropecuario disponibles para promover el proceso de transición de las actividades de alto a bajo impacto en los páramos, que se desarrollarán más en detalle en la siguiente sección.</w:t>
      </w:r>
    </w:p>
    <w:p w:rsidR="0030375E" w:rsidP="0030375E" w:rsidRDefault="0030375E" w14:paraId="1B9AD488" w14:textId="6C5C810F">
      <w:pPr>
        <w:jc w:val="both"/>
        <w:rPr>
          <w:rFonts w:ascii="Verdana" w:hAnsi="Verdana"/>
          <w:sz w:val="22"/>
          <w:szCs w:val="22"/>
        </w:rPr>
      </w:pPr>
      <w:r w:rsidRPr="4DB08123" w:rsidR="6B51E3DD">
        <w:rPr>
          <w:rFonts w:ascii="Verdana" w:hAnsi="Verdana"/>
          <w:sz w:val="22"/>
          <w:szCs w:val="22"/>
        </w:rPr>
        <w:t>Finalmente, deben considerarse unos temas transversales a los ejes de Conservación y Restauración y Reconversión y Sustitución, tales como capacitación en buenas prácticas y agroecología, educación ambiental, investigación y formulación y articulación de instrumentos de planificación.</w:t>
      </w:r>
    </w:p>
    <w:p w:rsidR="0030375E" w:rsidP="00C75E01" w:rsidRDefault="0030375E" w14:paraId="4440391A" w14:textId="213E6CF1">
      <w:pPr>
        <w:pStyle w:val="Estilo4"/>
      </w:pPr>
      <w:bookmarkStart w:name="_Toc234617864" w:id="22"/>
      <w:bookmarkStart w:name="_Toc234618991" w:id="23"/>
      <w:r w:rsidRPr="00EF6A61">
        <w:t>Incentivos</w:t>
      </w:r>
      <w:bookmarkEnd w:id="22"/>
      <w:bookmarkEnd w:id="23"/>
    </w:p>
    <w:p w:rsidRPr="00EF6A61" w:rsidR="00C75E01" w:rsidP="00C75E01" w:rsidRDefault="00C75E01" w14:paraId="72E6236D" w14:textId="77777777">
      <w:pPr>
        <w:pStyle w:val="Estilo4"/>
        <w:numPr>
          <w:ilvl w:val="0"/>
          <w:numId w:val="0"/>
        </w:numPr>
        <w:ind w:left="1440"/>
      </w:pPr>
    </w:p>
    <w:p w:rsidRPr="0030375E" w:rsidR="0030375E" w:rsidP="0030375E" w:rsidRDefault="0030375E" w14:paraId="71964262" w14:textId="77777777">
      <w:pPr>
        <w:jc w:val="both"/>
        <w:rPr>
          <w:rFonts w:ascii="Verdana" w:hAnsi="Verdana"/>
          <w:sz w:val="22"/>
          <w:szCs w:val="22"/>
        </w:rPr>
      </w:pPr>
      <w:r w:rsidRPr="0030375E">
        <w:rPr>
          <w:rFonts w:ascii="Verdana" w:hAnsi="Verdana"/>
          <w:sz w:val="22"/>
          <w:szCs w:val="22"/>
        </w:rPr>
        <w:t>Los incentivos mencionados de manera explícita en la Sentencia son los pagos por servicios ambientales – PSA; así como el ecoturismo y la bioeconomía que son actividades que se pueden considerar Negocios Verdes.</w:t>
      </w:r>
    </w:p>
    <w:p w:rsidRPr="0030375E" w:rsidR="0030375E" w:rsidP="0030375E" w:rsidRDefault="0030375E" w14:paraId="2C7D9307" w14:textId="77777777">
      <w:pPr>
        <w:jc w:val="both"/>
        <w:rPr>
          <w:rFonts w:ascii="Verdana" w:hAnsi="Verdana"/>
          <w:sz w:val="22"/>
          <w:szCs w:val="22"/>
        </w:rPr>
      </w:pPr>
      <w:r w:rsidRPr="0030375E">
        <w:rPr>
          <w:rFonts w:ascii="Verdana" w:hAnsi="Verdana"/>
          <w:sz w:val="22"/>
          <w:szCs w:val="22"/>
        </w:rPr>
        <w:t>Estos dos incentivos han sido desarrollados por el sector ambiental con el objeto de contribuir efectivamente a la conservación y restauración; así como, a la reconversión y sustitución productiva en particular en áreas de importancia ambiental estratégica, como los ecosistemas de páramo; y tal como están diseñados permiten la vinculación de actores públicos y privados en su aplicación y financiación.</w:t>
      </w:r>
    </w:p>
    <w:p w:rsidRPr="0030375E" w:rsidR="0030375E" w:rsidP="0030375E" w:rsidRDefault="0030375E" w14:paraId="687E3CE5" w14:textId="1CD15A60">
      <w:pPr>
        <w:jc w:val="both"/>
        <w:rPr>
          <w:rFonts w:ascii="Verdana" w:hAnsi="Verdana"/>
          <w:sz w:val="22"/>
          <w:szCs w:val="22"/>
        </w:rPr>
      </w:pPr>
      <w:r w:rsidRPr="0030375E">
        <w:rPr>
          <w:rFonts w:ascii="Verdana" w:hAnsi="Verdana"/>
          <w:sz w:val="22"/>
          <w:szCs w:val="22"/>
        </w:rPr>
        <w:t>En efecto como aparece en la siguiente ilustración los pagos por servicios ambientales - PSA pueden aplicarse a las actividades prioritarias para la protección de los páramos de manera articulada con otros incentivos; para el caso de la conservación y restauración, con la compra de predios y la reducción del impuesto predial, que puede ser establecida por los concejos municipales; y para el caso de la reconversión y sustitución productiva, con los incentivos del sector agropecuario.</w:t>
      </w:r>
    </w:p>
    <w:p w:rsidRPr="0030375E" w:rsidR="0030375E" w:rsidP="0030375E" w:rsidRDefault="0030375E" w14:paraId="4DF316B9" w14:textId="77777777">
      <w:pPr>
        <w:jc w:val="both"/>
        <w:rPr>
          <w:rFonts w:ascii="Verdana" w:hAnsi="Verdana"/>
          <w:sz w:val="22"/>
          <w:szCs w:val="22"/>
        </w:rPr>
      </w:pPr>
      <w:r w:rsidRPr="0030375E">
        <w:rPr>
          <w:rFonts w:ascii="Verdana" w:hAnsi="Verdana"/>
          <w:sz w:val="22"/>
          <w:szCs w:val="22"/>
        </w:rPr>
        <w:t>El sector agropecuario a través de Finagro ofrece un paquete integral de incentivos a los productores que incluyen créditos de fomento agropecuario, líneas especiales de crédito – LEC, Incentivos a la capitalización rural, Fondo Agropecuario de Garantías – FAG, Incentivo al seguro agropecuario – ISA y Fondo para el acceso a insumos agropecuarios – FAIA, entre otros.</w:t>
      </w:r>
    </w:p>
    <w:p w:rsidRPr="00B163B9" w:rsidR="0030375E" w:rsidP="0030375E" w:rsidRDefault="0030375E" w14:paraId="2A84AEA0" w14:textId="01BBA8E1">
      <w:pPr>
        <w:jc w:val="both"/>
        <w:rPr>
          <w:rFonts w:ascii="Verdana" w:hAnsi="Verdana"/>
          <w:sz w:val="22"/>
          <w:szCs w:val="22"/>
        </w:rPr>
      </w:pPr>
      <w:r w:rsidRPr="0030375E">
        <w:rPr>
          <w:rFonts w:ascii="Verdana" w:hAnsi="Verdana"/>
          <w:sz w:val="22"/>
          <w:szCs w:val="22"/>
        </w:rPr>
        <w:lastRenderedPageBreak/>
        <w:t>Como se observa en la ilustración estas dos actividades prioritarias pueden derivar en negocios verdes y de esa manera acceder a los beneficios establecidos para su promoción y fortalecimiento, que incluye planes de mejora, invitación a ferias, acceso al Fondo Emprender del Sena, valor agregado, sellos ambientales, etc.</w:t>
      </w:r>
    </w:p>
    <w:p w:rsidRPr="007C2539" w:rsidR="00FF4C7B" w:rsidP="00EF6A61" w:rsidRDefault="007C2539" w14:paraId="41D38D61" w14:textId="4441672C">
      <w:pPr>
        <w:pStyle w:val="Descripcin"/>
        <w:jc w:val="center"/>
        <w:rPr>
          <w:rFonts w:ascii="Verdana" w:hAnsi="Verdana"/>
          <w:noProof/>
          <w:sz w:val="18"/>
          <w:szCs w:val="18"/>
        </w:rPr>
      </w:pPr>
      <w:bookmarkStart w:name="_Toc234617634" w:id="24"/>
      <w:bookmarkStart w:name="_Toc234617742" w:id="25"/>
      <w:bookmarkStart w:name="_Toc234617940" w:id="26"/>
      <w:bookmarkStart w:name="_Toc234618840" w:id="27"/>
      <w:r w:rsidRPr="007C2539">
        <w:rPr>
          <w:rFonts w:ascii="Verdana" w:hAnsi="Verdana"/>
          <w:sz w:val="18"/>
          <w:szCs w:val="18"/>
        </w:rPr>
        <w:t xml:space="preserve">ILUSTRACIÓN </w:t>
      </w:r>
      <w:r w:rsidRPr="007C2539" w:rsidR="00EF6A61">
        <w:rPr>
          <w:rFonts w:ascii="Verdana" w:hAnsi="Verdana"/>
          <w:sz w:val="18"/>
          <w:szCs w:val="18"/>
        </w:rPr>
        <w:fldChar w:fldCharType="begin"/>
      </w:r>
      <w:r w:rsidRPr="007C2539" w:rsidR="00EF6A61">
        <w:rPr>
          <w:rFonts w:ascii="Verdana" w:hAnsi="Verdana"/>
          <w:sz w:val="18"/>
          <w:szCs w:val="18"/>
        </w:rPr>
        <w:instrText xml:space="preserve"> SEQ Ilustración \* ARABIC </w:instrText>
      </w:r>
      <w:r w:rsidRPr="007C2539" w:rsidR="00EF6A61">
        <w:rPr>
          <w:rFonts w:ascii="Verdana" w:hAnsi="Verdana"/>
          <w:sz w:val="18"/>
          <w:szCs w:val="18"/>
        </w:rPr>
        <w:fldChar w:fldCharType="separate"/>
      </w:r>
      <w:r w:rsidRPr="007C2539">
        <w:rPr>
          <w:rFonts w:ascii="Verdana" w:hAnsi="Verdana"/>
          <w:noProof/>
          <w:sz w:val="18"/>
          <w:szCs w:val="18"/>
        </w:rPr>
        <w:t>3</w:t>
      </w:r>
      <w:r w:rsidRPr="007C2539" w:rsidR="00EF6A61">
        <w:rPr>
          <w:rFonts w:ascii="Verdana" w:hAnsi="Verdana"/>
          <w:sz w:val="18"/>
          <w:szCs w:val="18"/>
        </w:rPr>
        <w:fldChar w:fldCharType="end"/>
      </w:r>
      <w:r w:rsidRPr="007C2539">
        <w:rPr>
          <w:rFonts w:ascii="Verdana" w:hAnsi="Verdana"/>
          <w:sz w:val="18"/>
          <w:szCs w:val="18"/>
        </w:rPr>
        <w:t>. APLICACIÓN DEL PSA PARA LA PROTECCIÓN DEL ECOSISTEMA DE PÁRAMO</w:t>
      </w:r>
      <w:bookmarkEnd w:id="24"/>
      <w:bookmarkEnd w:id="25"/>
      <w:bookmarkEnd w:id="26"/>
      <w:bookmarkEnd w:id="27"/>
    </w:p>
    <w:p w:rsidRPr="00B163B9" w:rsidR="00FF4C7B" w:rsidP="00FF4C7B" w:rsidRDefault="00FF4C7B" w14:paraId="6BE3A2D2" w14:textId="77777777">
      <w:pPr>
        <w:jc w:val="center"/>
        <w:rPr>
          <w:rFonts w:ascii="Verdana" w:hAnsi="Verdana"/>
          <w:sz w:val="22"/>
          <w:szCs w:val="22"/>
        </w:rPr>
      </w:pPr>
      <w:r w:rsidRPr="00B163B9">
        <w:rPr>
          <w:rFonts w:ascii="Verdana" w:hAnsi="Verdana"/>
          <w:noProof/>
          <w:sz w:val="22"/>
          <w:szCs w:val="22"/>
        </w:rPr>
        <w:drawing>
          <wp:inline distT="0" distB="0" distL="0" distR="0" wp14:anchorId="317216BD" wp14:editId="00DF1A3E">
            <wp:extent cx="4780915" cy="2381250"/>
            <wp:effectExtent l="0" t="0" r="63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13142" b="6720"/>
                    <a:stretch/>
                  </pic:blipFill>
                  <pic:spPr bwMode="auto">
                    <a:xfrm>
                      <a:off x="0" y="0"/>
                      <a:ext cx="4782217" cy="2381899"/>
                    </a:xfrm>
                    <a:prstGeom prst="rect">
                      <a:avLst/>
                    </a:prstGeom>
                    <a:ln>
                      <a:noFill/>
                    </a:ln>
                    <a:extLst>
                      <a:ext uri="{53640926-AAD7-44D8-BBD7-CCE9431645EC}">
                        <a14:shadowObscured xmlns:a14="http://schemas.microsoft.com/office/drawing/2010/main"/>
                      </a:ext>
                    </a:extLst>
                  </pic:spPr>
                </pic:pic>
              </a:graphicData>
            </a:graphic>
          </wp:inline>
        </w:drawing>
      </w:r>
    </w:p>
    <w:p w:rsidR="00FF4C7B" w:rsidP="00FF4C7B" w:rsidRDefault="00FF4C7B" w14:paraId="14022E48" w14:textId="0B2093FB">
      <w:pPr>
        <w:jc w:val="center"/>
      </w:pPr>
      <w:r w:rsidRPr="4DB08123" w:rsidR="241331C8">
        <w:rPr>
          <w:rFonts w:ascii="Verdana" w:hAnsi="Verdana"/>
          <w:i w:val="1"/>
          <w:iCs w:val="1"/>
          <w:sz w:val="18"/>
          <w:szCs w:val="18"/>
        </w:rPr>
        <w:t>Fuente: Ministerio de Ambiente y Desarrollo Sostenible. Oficina de Negocios Verdes, 2020. Modelo financiero Ecosistemas de Páramo</w:t>
      </w:r>
    </w:p>
    <w:p w:rsidR="4DB08123" w:rsidP="4DB08123" w:rsidRDefault="4DB08123" w14:paraId="1575FB4C" w14:textId="1998849E">
      <w:pPr>
        <w:jc w:val="center"/>
        <w:rPr>
          <w:rFonts w:ascii="Verdana" w:hAnsi="Verdana"/>
          <w:i w:val="1"/>
          <w:iCs w:val="1"/>
          <w:sz w:val="18"/>
          <w:szCs w:val="18"/>
        </w:rPr>
      </w:pPr>
    </w:p>
    <w:p w:rsidRPr="00EF6A61" w:rsidR="00FF4C7B" w:rsidP="00C75E01" w:rsidRDefault="00FF4C7B" w14:paraId="11C82C76" w14:textId="2339EE6F">
      <w:pPr>
        <w:pStyle w:val="Estilo4"/>
      </w:pPr>
      <w:bookmarkStart w:name="_Toc234617865" w:id="28"/>
      <w:bookmarkStart w:name="_Toc234618992" w:id="29"/>
      <w:r w:rsidRPr="00EF6A61">
        <w:t>Mecanismo Financiero</w:t>
      </w:r>
      <w:bookmarkEnd w:id="28"/>
      <w:bookmarkEnd w:id="29"/>
    </w:p>
    <w:p w:rsidR="00EF6A61" w:rsidP="00AE6D03" w:rsidRDefault="00EF6A61" w14:paraId="44E3EC12" w14:textId="77777777">
      <w:pPr>
        <w:jc w:val="both"/>
        <w:rPr>
          <w:rFonts w:ascii="Verdana" w:hAnsi="Verdana"/>
          <w:sz w:val="22"/>
          <w:szCs w:val="22"/>
        </w:rPr>
      </w:pPr>
    </w:p>
    <w:p w:rsidRPr="00EF6A61" w:rsidR="00AE6D03" w:rsidP="00C75E01" w:rsidRDefault="00AE6D03" w14:paraId="499AB350" w14:textId="11BF971A">
      <w:pPr>
        <w:pStyle w:val="Estilo5"/>
      </w:pPr>
      <w:r w:rsidRPr="00EF6A61">
        <w:t>Fondos de agua</w:t>
      </w:r>
    </w:p>
    <w:p w:rsidRPr="00AE6D03" w:rsidR="00AE6D03" w:rsidP="00AE6D03" w:rsidRDefault="00AE6D03" w14:paraId="4EDDE64B" w14:textId="77777777">
      <w:pPr>
        <w:jc w:val="both"/>
        <w:rPr>
          <w:rFonts w:ascii="Verdana" w:hAnsi="Verdana"/>
          <w:sz w:val="22"/>
          <w:szCs w:val="22"/>
        </w:rPr>
      </w:pPr>
    </w:p>
    <w:p w:rsidRPr="00AE6D03" w:rsidR="00AE6D03" w:rsidP="00AE6D03" w:rsidRDefault="00AE6D03" w14:paraId="31D8AA1B" w14:textId="77777777">
      <w:pPr>
        <w:jc w:val="both"/>
        <w:rPr>
          <w:rFonts w:ascii="Verdana" w:hAnsi="Verdana"/>
          <w:sz w:val="22"/>
          <w:szCs w:val="22"/>
        </w:rPr>
      </w:pPr>
      <w:r w:rsidRPr="00AE6D03">
        <w:rPr>
          <w:rFonts w:ascii="Verdana" w:hAnsi="Verdana"/>
          <w:sz w:val="22"/>
          <w:szCs w:val="22"/>
        </w:rPr>
        <w:t>Los fondos de agua, permiten la protección, conservación y mantenimiento de servicios hídricos, mediante la promoción de buenas prácticas por parte de los productores ubicados en la parte alta de las cuencas, lo cual corresponde a los programas de conservación y reconversión.</w:t>
      </w:r>
    </w:p>
    <w:p w:rsidRPr="00AE6D03" w:rsidR="00AE6D03" w:rsidP="00AE6D03" w:rsidRDefault="00AE6D03" w14:paraId="60A71FD2" w14:textId="77777777">
      <w:pPr>
        <w:jc w:val="both"/>
        <w:rPr>
          <w:rFonts w:ascii="Verdana" w:hAnsi="Verdana"/>
          <w:sz w:val="22"/>
          <w:szCs w:val="22"/>
        </w:rPr>
      </w:pPr>
      <w:r w:rsidRPr="00AE6D03">
        <w:rPr>
          <w:rFonts w:ascii="Verdana" w:hAnsi="Verdana"/>
          <w:sz w:val="22"/>
          <w:szCs w:val="22"/>
        </w:rPr>
        <w:t>De la misma manera, los fondos requieren de la participación de los grandes consumidores de agua: empresas de acueducto, generadores de energía y productores de bebidas y alimentos.</w:t>
      </w:r>
    </w:p>
    <w:p w:rsidRPr="00AE6D03" w:rsidR="00AE6D03" w:rsidP="00AE6D03" w:rsidRDefault="00AE6D03" w14:paraId="76774D61" w14:textId="77777777">
      <w:pPr>
        <w:jc w:val="both"/>
        <w:rPr>
          <w:rFonts w:ascii="Verdana" w:hAnsi="Verdana"/>
          <w:sz w:val="22"/>
          <w:szCs w:val="22"/>
        </w:rPr>
      </w:pPr>
      <w:r w:rsidRPr="00AE6D03">
        <w:rPr>
          <w:rFonts w:ascii="Verdana" w:hAnsi="Verdana"/>
          <w:sz w:val="22"/>
          <w:szCs w:val="22"/>
        </w:rPr>
        <w:t xml:space="preserve">Los fondos de agua, también son una herramienta financiera que permite generar y captar recursos, utilizando servicios del sector financiero como la capitalización y los encargos fiduciarios; que dan sostenibilidad financiera y </w:t>
      </w:r>
      <w:r w:rsidRPr="00AE6D03">
        <w:rPr>
          <w:rFonts w:ascii="Verdana" w:hAnsi="Verdana"/>
          <w:sz w:val="22"/>
          <w:szCs w:val="22"/>
        </w:rPr>
        <w:lastRenderedPageBreak/>
        <w:t>transparencia en el manejo de los recursos; y que resultan muy atractivos para que actores privados y públicos, articulen esfuerzos y recursos con el objetivo común de la conservación de ecosistemas estratégicos.</w:t>
      </w:r>
    </w:p>
    <w:p w:rsidRPr="00AE6D03" w:rsidR="00AE6D03" w:rsidP="00AE6D03" w:rsidRDefault="00AE6D03" w14:paraId="12F951D2" w14:textId="77777777">
      <w:pPr>
        <w:jc w:val="both"/>
        <w:rPr>
          <w:rFonts w:ascii="Verdana" w:hAnsi="Verdana"/>
          <w:sz w:val="22"/>
          <w:szCs w:val="22"/>
        </w:rPr>
      </w:pPr>
      <w:r w:rsidRPr="00AE6D03">
        <w:rPr>
          <w:rFonts w:ascii="Verdana" w:hAnsi="Verdana"/>
          <w:sz w:val="22"/>
          <w:szCs w:val="22"/>
        </w:rPr>
        <w:t xml:space="preserve">En Norte de Santander está la Alianza </w:t>
      </w:r>
      <w:proofErr w:type="spellStart"/>
      <w:r w:rsidRPr="00AE6D03">
        <w:rPr>
          <w:rFonts w:ascii="Verdana" w:hAnsi="Verdana"/>
          <w:sz w:val="22"/>
          <w:szCs w:val="22"/>
        </w:rPr>
        <w:t>Biocuenca</w:t>
      </w:r>
      <w:proofErr w:type="spellEnd"/>
      <w:r w:rsidRPr="00AE6D03">
        <w:rPr>
          <w:rFonts w:ascii="Verdana" w:hAnsi="Verdana"/>
          <w:sz w:val="22"/>
          <w:szCs w:val="22"/>
        </w:rPr>
        <w:t xml:space="preserve">, que fue constituida con el apoyo del MADS y que cuenta con la participación de la Gobernación de Norte de Santander, alcaldía de Cúcuta (acuerdo municipal con la empresa de acueducto de la ciudad), CORPONOR, Cámara de Comercio de Cúcuta, Bavaria y GIZ. </w:t>
      </w:r>
    </w:p>
    <w:p w:rsidRPr="00AE6D03" w:rsidR="00AE6D03" w:rsidP="00AE6D03" w:rsidRDefault="00AE6D03" w14:paraId="6FD1B59A" w14:textId="77777777">
      <w:pPr>
        <w:jc w:val="both"/>
        <w:rPr>
          <w:rFonts w:ascii="Verdana" w:hAnsi="Verdana"/>
          <w:sz w:val="22"/>
          <w:szCs w:val="22"/>
        </w:rPr>
      </w:pPr>
      <w:r w:rsidRPr="00AE6D03">
        <w:rPr>
          <w:rFonts w:ascii="Verdana" w:hAnsi="Verdana"/>
          <w:sz w:val="22"/>
          <w:szCs w:val="22"/>
        </w:rPr>
        <w:t>Dentro de las fuentes financieras de la alianza se destacan el 1% del artículo 111 de la Ley 99 de 1993 del Departamento y el municipio de Cúcuta, la TUA de CORPONOR, las Transferencias del Sector Eléctrico y aporte de programas de responsabilidad social y bonos de agua del sector privado, es decir muchas de las fuentes financieras habilitadas para la gestión integral del páramo.</w:t>
      </w:r>
    </w:p>
    <w:p w:rsidRPr="00AE6D03" w:rsidR="00AE6D03" w:rsidP="00AE6D03" w:rsidRDefault="00AE6D03" w14:paraId="7B541CB7" w14:textId="4B50E541">
      <w:pPr>
        <w:jc w:val="both"/>
        <w:rPr>
          <w:rFonts w:ascii="Verdana" w:hAnsi="Verdana"/>
          <w:sz w:val="22"/>
          <w:szCs w:val="22"/>
        </w:rPr>
      </w:pPr>
      <w:r w:rsidRPr="00AE6D03">
        <w:rPr>
          <w:rFonts w:ascii="Verdana" w:hAnsi="Verdana"/>
          <w:sz w:val="22"/>
          <w:szCs w:val="22"/>
        </w:rPr>
        <w:t xml:space="preserve">El esquema de la alianza se basa en acuerdos </w:t>
      </w:r>
      <w:r w:rsidRPr="00AE6D03" w:rsidR="00EF6A61">
        <w:rPr>
          <w:rFonts w:ascii="Verdana" w:hAnsi="Verdana"/>
          <w:sz w:val="22"/>
          <w:szCs w:val="22"/>
        </w:rPr>
        <w:t>interinstitucionales</w:t>
      </w:r>
      <w:r w:rsidRPr="00AE6D03">
        <w:rPr>
          <w:rFonts w:ascii="Verdana" w:hAnsi="Verdana"/>
          <w:sz w:val="22"/>
          <w:szCs w:val="22"/>
        </w:rPr>
        <w:t xml:space="preserve"> que concretan compromisos de aportes de recursos, lo cual responde a lo que ordena la Sentencia T-361 de 2017, con respecto al ineludible 6.</w:t>
      </w:r>
    </w:p>
    <w:p w:rsidRPr="00AE6D03" w:rsidR="00AE6D03" w:rsidP="00AE6D03" w:rsidRDefault="00AE6D03" w14:paraId="3CDD88DA" w14:textId="238CFF10">
      <w:pPr>
        <w:jc w:val="both"/>
      </w:pPr>
      <w:r w:rsidRPr="4DB08123" w:rsidR="7CA088A3">
        <w:rPr>
          <w:rFonts w:ascii="Verdana" w:hAnsi="Verdana"/>
          <w:sz w:val="22"/>
          <w:szCs w:val="22"/>
        </w:rPr>
        <w:t xml:space="preserve">Para el caso de Santander, la alcaldía municipal ha propiciado la creación de un Fondo de Agua similar a la alianza </w:t>
      </w:r>
      <w:r w:rsidRPr="4DB08123" w:rsidR="7CA088A3">
        <w:rPr>
          <w:rFonts w:ascii="Verdana" w:hAnsi="Verdana"/>
          <w:sz w:val="22"/>
          <w:szCs w:val="22"/>
        </w:rPr>
        <w:t>Biocuenca</w:t>
      </w:r>
      <w:r w:rsidRPr="4DB08123" w:rsidR="7CA088A3">
        <w:rPr>
          <w:rFonts w:ascii="Verdana" w:hAnsi="Verdana"/>
          <w:sz w:val="22"/>
          <w:szCs w:val="22"/>
        </w:rPr>
        <w:t>.</w:t>
      </w:r>
    </w:p>
    <w:p w:rsidR="4DB08123" w:rsidP="4DB08123" w:rsidRDefault="4DB08123" w14:paraId="2D69922F" w14:textId="2B128280">
      <w:pPr>
        <w:jc w:val="both"/>
        <w:rPr>
          <w:rFonts w:ascii="Verdana" w:hAnsi="Verdana"/>
          <w:sz w:val="22"/>
          <w:szCs w:val="22"/>
        </w:rPr>
      </w:pPr>
    </w:p>
    <w:p w:rsidRPr="00EF6A61" w:rsidR="00AE6D03" w:rsidP="00C75E01" w:rsidRDefault="00AE6D03" w14:paraId="19D7F4AE" w14:textId="48AEC5DD">
      <w:pPr>
        <w:pStyle w:val="Estilo5"/>
      </w:pPr>
      <w:r w:rsidRPr="00EF6A61">
        <w:t>Fondo para la vida y la biodiversidad</w:t>
      </w:r>
    </w:p>
    <w:p w:rsidRPr="00AE6D03" w:rsidR="00AE6D03" w:rsidP="00AE6D03" w:rsidRDefault="00AE6D03" w14:paraId="0CD276C1" w14:textId="77777777">
      <w:pPr>
        <w:jc w:val="both"/>
        <w:rPr>
          <w:rFonts w:ascii="Verdana" w:hAnsi="Verdana"/>
          <w:sz w:val="22"/>
          <w:szCs w:val="22"/>
        </w:rPr>
      </w:pPr>
    </w:p>
    <w:p w:rsidRPr="00AE6D03" w:rsidR="00AE6D03" w:rsidP="00AE6D03" w:rsidRDefault="00AE6D03" w14:paraId="01227ECB" w14:textId="77777777">
      <w:pPr>
        <w:jc w:val="both"/>
        <w:rPr>
          <w:rFonts w:ascii="Verdana" w:hAnsi="Verdana"/>
          <w:sz w:val="22"/>
          <w:szCs w:val="22"/>
        </w:rPr>
      </w:pPr>
      <w:r w:rsidRPr="00AE6D03">
        <w:rPr>
          <w:rFonts w:ascii="Verdana" w:hAnsi="Verdana"/>
          <w:sz w:val="22"/>
          <w:szCs w:val="22"/>
        </w:rPr>
        <w:t>Con la Ley 2277 de 2023 de reforma tributaria y la Ley 2294 de 2023, que adopta el Plan Nacional de Desarrollo “Colombia Potencia Mundial de la Vida”, se crea el Fondo para la Vida y la Biodiversidad cuya fuente de financiación es el 80% del impuesto al carbono.</w:t>
      </w:r>
    </w:p>
    <w:p w:rsidR="0030375E" w:rsidP="00AE6D03" w:rsidRDefault="00AE6D03" w14:paraId="7E7D3A73" w14:textId="3BB141AF">
      <w:pPr>
        <w:jc w:val="both"/>
        <w:rPr>
          <w:rFonts w:ascii="Verdana" w:hAnsi="Verdana"/>
          <w:sz w:val="22"/>
          <w:szCs w:val="22"/>
        </w:rPr>
      </w:pPr>
      <w:r w:rsidRPr="00AE6D03">
        <w:rPr>
          <w:rFonts w:ascii="Verdana" w:hAnsi="Verdana"/>
          <w:sz w:val="22"/>
          <w:szCs w:val="22"/>
        </w:rPr>
        <w:t>El Fondo tiene como objetivo la financiación de la gestión ambiental en los territorios de acuerdo con las prioridades de Minambiente y funciona como un Patrimonio autónomo cuyos recursos serán administrados por una Fiducia; y permite la canalización de recursos de distintas fuentes de financiación.</w:t>
      </w:r>
    </w:p>
    <w:p w:rsidRPr="00B163B9" w:rsidR="0052768E" w:rsidP="00EA64F3" w:rsidRDefault="0052768E" w14:paraId="68F50EEB" w14:textId="77777777">
      <w:pPr>
        <w:jc w:val="both"/>
        <w:rPr>
          <w:rFonts w:ascii="Verdana" w:hAnsi="Verdana"/>
          <w:sz w:val="22"/>
          <w:szCs w:val="22"/>
        </w:rPr>
      </w:pPr>
    </w:p>
    <w:p w:rsidRPr="00B163B9" w:rsidR="00EA64F3" w:rsidP="00C75E01" w:rsidRDefault="00EA64F3" w14:paraId="120A96FE" w14:textId="4B0456A6">
      <w:pPr>
        <w:pStyle w:val="Estilo3"/>
      </w:pPr>
      <w:r w:rsidRPr="00B163B9">
        <w:t xml:space="preserve"> </w:t>
      </w:r>
      <w:bookmarkStart w:name="_Toc234617866" w:id="30"/>
      <w:bookmarkStart w:name="_Toc234618993" w:id="31"/>
      <w:r w:rsidRPr="00B163B9">
        <w:t>PROCESO PARTICIPATIVO: FASE DE CONSULTA Y FASE DE CONCERTACIÓN</w:t>
      </w:r>
      <w:bookmarkEnd w:id="30"/>
      <w:bookmarkEnd w:id="31"/>
    </w:p>
    <w:p w:rsidRPr="00B163B9" w:rsidR="00943C28" w:rsidP="00943C28" w:rsidRDefault="00943C28" w14:paraId="007D0AA8" w14:textId="77777777">
      <w:pPr>
        <w:pStyle w:val="Prrafodelista"/>
        <w:jc w:val="both"/>
        <w:rPr>
          <w:rFonts w:ascii="Verdana" w:hAnsi="Verdana"/>
          <w:b/>
          <w:bCs/>
          <w:sz w:val="22"/>
          <w:szCs w:val="22"/>
        </w:rPr>
      </w:pPr>
    </w:p>
    <w:p w:rsidR="00943C28" w:rsidP="00C75E01" w:rsidRDefault="00943C28" w14:paraId="6BAF80B2" w14:textId="6B592182">
      <w:pPr>
        <w:pStyle w:val="Estilo4"/>
      </w:pPr>
      <w:bookmarkStart w:name="_Toc234617867" w:id="32"/>
      <w:bookmarkStart w:name="_Toc234618994" w:id="33"/>
      <w:r w:rsidRPr="00B163B9">
        <w:lastRenderedPageBreak/>
        <w:t>Fase de Consulta</w:t>
      </w:r>
      <w:bookmarkEnd w:id="32"/>
      <w:bookmarkEnd w:id="33"/>
    </w:p>
    <w:p w:rsidRPr="00B163B9" w:rsidR="00C75E01" w:rsidP="00C75E01" w:rsidRDefault="00C75E01" w14:paraId="55675882" w14:textId="77777777">
      <w:pPr>
        <w:pStyle w:val="Estilo4"/>
        <w:numPr>
          <w:ilvl w:val="0"/>
          <w:numId w:val="0"/>
        </w:numPr>
        <w:ind w:left="1440"/>
      </w:pPr>
    </w:p>
    <w:p w:rsidRPr="00B163B9" w:rsidR="00B82DD2" w:rsidP="00B82DD2" w:rsidRDefault="00B82DD2" w14:paraId="7FA68A47" w14:textId="17EE2CB0">
      <w:pPr>
        <w:jc w:val="both"/>
        <w:rPr>
          <w:rFonts w:ascii="Verdana" w:hAnsi="Verdana"/>
          <w:sz w:val="22"/>
          <w:szCs w:val="22"/>
        </w:rPr>
      </w:pPr>
      <w:r w:rsidRPr="00B163B9">
        <w:rPr>
          <w:rFonts w:ascii="Verdana" w:hAnsi="Verdana"/>
          <w:sz w:val="22"/>
          <w:szCs w:val="22"/>
        </w:rPr>
        <w:t xml:space="preserve">En cumplimiento del mandato de participación efectiva de la Sentencia T-361 de 2017, se llevó a cabo una fase de consulta en 2019 con las comunidades de los 40 municipios que pertenecen al Complejo de páramo Jurisdicciones-Santurbán-Berlín. Este proceso, previo a la concertación, se recibieron 705 comentarios, de los cuales </w:t>
      </w:r>
      <w:r w:rsidRPr="00B163B9">
        <w:rPr>
          <w:rFonts w:ascii="Verdana" w:hAnsi="Verdana"/>
          <w:b/>
          <w:bCs/>
          <w:sz w:val="22"/>
          <w:szCs w:val="22"/>
        </w:rPr>
        <w:t xml:space="preserve">659 </w:t>
      </w:r>
      <w:r w:rsidRPr="00B163B9">
        <w:rPr>
          <w:rFonts w:ascii="Verdana" w:hAnsi="Verdana"/>
          <w:sz w:val="22"/>
          <w:szCs w:val="22"/>
        </w:rPr>
        <w:t>se consideraron como propuestas y los 46 restantes se clasificaron como inconformidades o inquietudes.</w:t>
      </w:r>
    </w:p>
    <w:p w:rsidRPr="00B163B9" w:rsidR="00B82DD2" w:rsidP="00B82DD2" w:rsidRDefault="00B82DD2" w14:paraId="7FCD7EEB" w14:textId="5B943727">
      <w:pPr>
        <w:jc w:val="both"/>
        <w:rPr>
          <w:rFonts w:ascii="Verdana" w:hAnsi="Verdana"/>
          <w:sz w:val="22"/>
          <w:szCs w:val="22"/>
        </w:rPr>
      </w:pPr>
      <w:r w:rsidRPr="00B163B9">
        <w:rPr>
          <w:rFonts w:ascii="Verdana" w:hAnsi="Verdana"/>
          <w:sz w:val="22"/>
          <w:szCs w:val="22"/>
        </w:rPr>
        <w:t xml:space="preserve">De esas 659 propuestas, las comunidades presentan interés en temas referidos a la implementación de Negocios Verdes, compra de predios y la reconversión y sustitución productiva, el interés de implementar incentivos ambientales mediante esquemas de Pago por Servicios Ambientales-PSA, los incentivos del sector agropecuario y la deducción del impuesto predial. </w:t>
      </w:r>
    </w:p>
    <w:p w:rsidRPr="00B163B9" w:rsidR="00B82DD2" w:rsidP="00B82DD2" w:rsidRDefault="00B82DD2" w14:paraId="0CE2D5F4" w14:textId="1840293B">
      <w:pPr>
        <w:jc w:val="both"/>
        <w:rPr>
          <w:rFonts w:ascii="Verdana" w:hAnsi="Verdana"/>
          <w:sz w:val="22"/>
          <w:szCs w:val="22"/>
        </w:rPr>
      </w:pPr>
      <w:r w:rsidRPr="00B163B9">
        <w:rPr>
          <w:rFonts w:ascii="Verdana" w:hAnsi="Verdana"/>
          <w:sz w:val="22"/>
          <w:szCs w:val="22"/>
        </w:rPr>
        <w:t>Igualmente, se recibieron propuestas para incrementar el 1% de los ingresos corrientes, ajustar la tarifa de servicio de acueductos e incorporar los aportes del presupuesto municipal en acciones de conservación, entre otros.</w:t>
      </w:r>
    </w:p>
    <w:p w:rsidRPr="00B163B9" w:rsidR="00B82DD2" w:rsidP="00B82DD2" w:rsidRDefault="00B82DD2" w14:paraId="2735248B" w14:textId="1F701B94">
      <w:pPr>
        <w:jc w:val="both"/>
        <w:rPr>
          <w:rFonts w:ascii="Verdana" w:hAnsi="Verdana"/>
          <w:b/>
          <w:bCs/>
          <w:i/>
          <w:iCs/>
          <w:sz w:val="22"/>
          <w:szCs w:val="22"/>
        </w:rPr>
      </w:pPr>
      <w:r w:rsidRPr="00B163B9">
        <w:rPr>
          <w:rFonts w:ascii="Verdana" w:hAnsi="Verdana"/>
          <w:sz w:val="22"/>
          <w:szCs w:val="22"/>
        </w:rPr>
        <w:t xml:space="preserve">Las 659 propuestas se clasificaron en los cuatro componentes del modelo de financiación y se presentan en la </w:t>
      </w:r>
      <w:r w:rsidRPr="007C2539" w:rsidR="00C816BA">
        <w:rPr>
          <w:rFonts w:ascii="Verdana" w:hAnsi="Verdana"/>
          <w:i/>
          <w:iCs/>
          <w:sz w:val="22"/>
          <w:szCs w:val="22"/>
        </w:rPr>
        <w:t xml:space="preserve">Tabla 2 y la </w:t>
      </w:r>
      <w:r w:rsidRPr="007C2539" w:rsidR="00EF6A61">
        <w:rPr>
          <w:rFonts w:ascii="Verdana" w:hAnsi="Verdana"/>
          <w:i/>
          <w:iCs/>
          <w:sz w:val="22"/>
          <w:szCs w:val="22"/>
        </w:rPr>
        <w:t xml:space="preserve">Ilustración </w:t>
      </w:r>
      <w:r w:rsidRPr="007C2539" w:rsidR="00C816BA">
        <w:rPr>
          <w:rFonts w:ascii="Verdana" w:hAnsi="Verdana"/>
          <w:i/>
          <w:iCs/>
          <w:sz w:val="22"/>
          <w:szCs w:val="22"/>
        </w:rPr>
        <w:t>4</w:t>
      </w:r>
      <w:r w:rsidR="007C2539">
        <w:rPr>
          <w:rFonts w:ascii="Verdana" w:hAnsi="Verdana"/>
          <w:i/>
          <w:iCs/>
          <w:sz w:val="22"/>
          <w:szCs w:val="22"/>
        </w:rPr>
        <w:t>.</w:t>
      </w:r>
    </w:p>
    <w:p w:rsidRPr="00B163B9" w:rsidR="00C816BA" w:rsidP="00B82DD2" w:rsidRDefault="00C816BA" w14:paraId="562001A0" w14:textId="77777777">
      <w:pPr>
        <w:jc w:val="both"/>
        <w:rPr>
          <w:rFonts w:ascii="Verdana" w:hAnsi="Verdana"/>
          <w:b/>
          <w:bCs/>
          <w:i/>
          <w:iCs/>
          <w:sz w:val="22"/>
          <w:szCs w:val="22"/>
        </w:rPr>
      </w:pPr>
    </w:p>
    <w:p w:rsidRPr="007C2539" w:rsidR="00EF6A61" w:rsidP="007C2539" w:rsidRDefault="007C2539" w14:paraId="6EA51425" w14:textId="476722EF">
      <w:pPr>
        <w:pStyle w:val="Descripcin"/>
        <w:keepNext/>
        <w:jc w:val="center"/>
        <w:rPr>
          <w:rFonts w:ascii="Verdana" w:hAnsi="Verdana"/>
          <w:sz w:val="18"/>
          <w:szCs w:val="18"/>
        </w:rPr>
      </w:pPr>
      <w:bookmarkStart w:name="_Toc234617447" w:id="34"/>
      <w:bookmarkStart w:name="_Toc234619051" w:id="35"/>
      <w:r w:rsidRPr="007C2539">
        <w:rPr>
          <w:rFonts w:ascii="Verdana" w:hAnsi="Verdana"/>
          <w:sz w:val="18"/>
          <w:szCs w:val="18"/>
        </w:rPr>
        <w:t xml:space="preserve">TABLA </w:t>
      </w:r>
      <w:r w:rsidRPr="007C2539" w:rsidR="00EF6A61">
        <w:rPr>
          <w:rFonts w:ascii="Verdana" w:hAnsi="Verdana"/>
          <w:sz w:val="18"/>
          <w:szCs w:val="18"/>
        </w:rPr>
        <w:fldChar w:fldCharType="begin"/>
      </w:r>
      <w:r w:rsidRPr="007C2539" w:rsidR="00EF6A61">
        <w:rPr>
          <w:rFonts w:ascii="Verdana" w:hAnsi="Verdana"/>
          <w:sz w:val="18"/>
          <w:szCs w:val="18"/>
        </w:rPr>
        <w:instrText xml:space="preserve"> SEQ Tabla \* ARABIC </w:instrText>
      </w:r>
      <w:r w:rsidRPr="007C2539" w:rsidR="00EF6A61">
        <w:rPr>
          <w:rFonts w:ascii="Verdana" w:hAnsi="Verdana"/>
          <w:sz w:val="18"/>
          <w:szCs w:val="18"/>
        </w:rPr>
        <w:fldChar w:fldCharType="separate"/>
      </w:r>
      <w:r w:rsidRPr="007C2539">
        <w:rPr>
          <w:rFonts w:ascii="Verdana" w:hAnsi="Verdana"/>
          <w:noProof/>
          <w:sz w:val="18"/>
          <w:szCs w:val="18"/>
        </w:rPr>
        <w:t>2</w:t>
      </w:r>
      <w:r w:rsidRPr="007C2539" w:rsidR="00EF6A61">
        <w:rPr>
          <w:rFonts w:ascii="Verdana" w:hAnsi="Verdana"/>
          <w:sz w:val="18"/>
          <w:szCs w:val="18"/>
        </w:rPr>
        <w:fldChar w:fldCharType="end"/>
      </w:r>
      <w:r w:rsidRPr="007C2539">
        <w:rPr>
          <w:rFonts w:ascii="Verdana" w:hAnsi="Verdana"/>
          <w:sz w:val="18"/>
          <w:szCs w:val="18"/>
        </w:rPr>
        <w:t>. NÚMERO DE PROPUESTAS POR COMPONENTE EN EL MODELO DE FINANCIACIÓN DEL CPJSB</w:t>
      </w:r>
      <w:bookmarkEnd w:id="34"/>
      <w:bookmarkEnd w:id="35"/>
    </w:p>
    <w:p w:rsidRPr="00B163B9" w:rsidR="00B82DD2" w:rsidP="00B82DD2" w:rsidRDefault="00B82DD2" w14:paraId="1D41CA4C" w14:textId="223A1A3C">
      <w:pPr>
        <w:jc w:val="center"/>
        <w:rPr>
          <w:rFonts w:ascii="Verdana" w:hAnsi="Verdana"/>
          <w:sz w:val="22"/>
          <w:szCs w:val="22"/>
        </w:rPr>
      </w:pPr>
      <w:r w:rsidRPr="00B163B9">
        <w:rPr>
          <w:rFonts w:ascii="Verdana" w:hAnsi="Verdana"/>
          <w:noProof/>
          <w:sz w:val="22"/>
          <w:szCs w:val="22"/>
        </w:rPr>
        <w:drawing>
          <wp:inline distT="0" distB="0" distL="0" distR="0" wp14:anchorId="584A0C68" wp14:editId="1318D0D5">
            <wp:extent cx="5644515" cy="1628775"/>
            <wp:effectExtent l="0" t="0" r="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8527" t="16058" r="4687" b="11486"/>
                    <a:stretch/>
                  </pic:blipFill>
                  <pic:spPr bwMode="auto">
                    <a:xfrm>
                      <a:off x="0" y="0"/>
                      <a:ext cx="5647947" cy="1629765"/>
                    </a:xfrm>
                    <a:prstGeom prst="rect">
                      <a:avLst/>
                    </a:prstGeom>
                    <a:ln>
                      <a:noFill/>
                    </a:ln>
                    <a:extLst>
                      <a:ext uri="{53640926-AAD7-44D8-BBD7-CCE9431645EC}">
                        <a14:shadowObscured xmlns:a14="http://schemas.microsoft.com/office/drawing/2010/main"/>
                      </a:ext>
                    </a:extLst>
                  </pic:spPr>
                </pic:pic>
              </a:graphicData>
            </a:graphic>
          </wp:inline>
        </w:drawing>
      </w:r>
    </w:p>
    <w:p w:rsidRPr="007C2539" w:rsidR="00C816BA" w:rsidP="00B82DD2" w:rsidRDefault="00C816BA" w14:paraId="2A0D3C73" w14:textId="09FD7285">
      <w:pPr>
        <w:jc w:val="center"/>
        <w:rPr>
          <w:rFonts w:ascii="Verdana" w:hAnsi="Verdana"/>
          <w:i/>
          <w:iCs/>
          <w:sz w:val="18"/>
          <w:szCs w:val="18"/>
        </w:rPr>
      </w:pPr>
      <w:r w:rsidRPr="007C2539">
        <w:rPr>
          <w:rFonts w:ascii="Verdana" w:hAnsi="Verdana"/>
          <w:i/>
          <w:iCs/>
          <w:sz w:val="18"/>
          <w:szCs w:val="18"/>
        </w:rPr>
        <w:t>Fuente: MADS, 2019</w:t>
      </w:r>
    </w:p>
    <w:p w:rsidRPr="007C2539" w:rsidR="00EF6A61" w:rsidP="00EF6A61" w:rsidRDefault="007C2539" w14:paraId="47035511" w14:textId="13958B20">
      <w:pPr>
        <w:pStyle w:val="Descripcin"/>
        <w:jc w:val="center"/>
        <w:rPr>
          <w:rFonts w:ascii="Verdana" w:hAnsi="Verdana"/>
          <w:b w:val="0"/>
          <w:bCs w:val="0"/>
          <w:i/>
          <w:iCs/>
          <w:sz w:val="18"/>
          <w:szCs w:val="18"/>
        </w:rPr>
      </w:pPr>
      <w:bookmarkStart w:name="_Toc234617635" w:id="36"/>
      <w:bookmarkStart w:name="_Toc234617743" w:id="37"/>
      <w:bookmarkStart w:name="_Toc234617941" w:id="38"/>
      <w:bookmarkStart w:name="_Toc234618841" w:id="39"/>
      <w:r w:rsidRPr="007C2539">
        <w:rPr>
          <w:rFonts w:ascii="Verdana" w:hAnsi="Verdana"/>
          <w:sz w:val="18"/>
          <w:szCs w:val="18"/>
        </w:rPr>
        <w:t xml:space="preserve">ILUSTRACIÓN </w:t>
      </w:r>
      <w:r w:rsidRPr="007C2539" w:rsidR="00EF6A61">
        <w:rPr>
          <w:rFonts w:ascii="Verdana" w:hAnsi="Verdana"/>
          <w:sz w:val="18"/>
          <w:szCs w:val="18"/>
        </w:rPr>
        <w:fldChar w:fldCharType="begin"/>
      </w:r>
      <w:r w:rsidRPr="007C2539" w:rsidR="00EF6A61">
        <w:rPr>
          <w:rFonts w:ascii="Verdana" w:hAnsi="Verdana"/>
          <w:sz w:val="18"/>
          <w:szCs w:val="18"/>
        </w:rPr>
        <w:instrText xml:space="preserve"> SEQ Ilustración \* ARABIC </w:instrText>
      </w:r>
      <w:r w:rsidRPr="007C2539" w:rsidR="00EF6A61">
        <w:rPr>
          <w:rFonts w:ascii="Verdana" w:hAnsi="Verdana"/>
          <w:sz w:val="18"/>
          <w:szCs w:val="18"/>
        </w:rPr>
        <w:fldChar w:fldCharType="separate"/>
      </w:r>
      <w:r w:rsidRPr="007C2539">
        <w:rPr>
          <w:rFonts w:ascii="Verdana" w:hAnsi="Verdana"/>
          <w:noProof/>
          <w:sz w:val="18"/>
          <w:szCs w:val="18"/>
        </w:rPr>
        <w:t>4</w:t>
      </w:r>
      <w:r w:rsidRPr="007C2539" w:rsidR="00EF6A61">
        <w:rPr>
          <w:rFonts w:ascii="Verdana" w:hAnsi="Verdana"/>
          <w:sz w:val="18"/>
          <w:szCs w:val="18"/>
        </w:rPr>
        <w:fldChar w:fldCharType="end"/>
      </w:r>
      <w:r w:rsidRPr="007C2539">
        <w:rPr>
          <w:rFonts w:ascii="Verdana" w:hAnsi="Verdana"/>
          <w:sz w:val="18"/>
          <w:szCs w:val="18"/>
        </w:rPr>
        <w:t>. PORCENTAJES DE PROPUESTAS POR COMPONENTE EN EL MODELO DE FINANCIACIÓN DEL CPJSB</w:t>
      </w:r>
      <w:bookmarkEnd w:id="36"/>
      <w:bookmarkEnd w:id="37"/>
      <w:bookmarkEnd w:id="38"/>
      <w:bookmarkEnd w:id="39"/>
    </w:p>
    <w:p w:rsidRPr="00B163B9" w:rsidR="00C816BA" w:rsidP="00B82DD2" w:rsidRDefault="00C816BA" w14:paraId="5B1F117C" w14:textId="77777777">
      <w:pPr>
        <w:jc w:val="center"/>
        <w:rPr>
          <w:rFonts w:ascii="Verdana" w:hAnsi="Verdana"/>
          <w:sz w:val="22"/>
          <w:szCs w:val="22"/>
        </w:rPr>
      </w:pPr>
    </w:p>
    <w:p w:rsidRPr="00B163B9" w:rsidR="00B62D98" w:rsidP="00B82DD2" w:rsidRDefault="00B62D98" w14:paraId="58EE7B68" w14:textId="7C5E33D5">
      <w:pPr>
        <w:jc w:val="center"/>
        <w:rPr>
          <w:rFonts w:ascii="Verdana" w:hAnsi="Verdana"/>
          <w:sz w:val="22"/>
          <w:szCs w:val="22"/>
        </w:rPr>
      </w:pPr>
      <w:r w:rsidRPr="00B163B9">
        <w:rPr>
          <w:rFonts w:ascii="Verdana" w:hAnsi="Verdana"/>
          <w:noProof/>
          <w:sz w:val="22"/>
          <w:szCs w:val="22"/>
        </w:rPr>
        <w:lastRenderedPageBreak/>
        <w:drawing>
          <wp:inline distT="0" distB="0" distL="0" distR="0" wp14:anchorId="66AE7BB1" wp14:editId="0D70D0B2">
            <wp:extent cx="2790029" cy="25146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04951" cy="2528048"/>
                    </a:xfrm>
                    <a:prstGeom prst="rect">
                      <a:avLst/>
                    </a:prstGeom>
                    <a:noFill/>
                  </pic:spPr>
                </pic:pic>
              </a:graphicData>
            </a:graphic>
          </wp:inline>
        </w:drawing>
      </w:r>
    </w:p>
    <w:p w:rsidRPr="007C2539" w:rsidR="00296A31" w:rsidP="007C2539" w:rsidRDefault="00C816BA" w14:paraId="4975A659" w14:textId="751AC7CE">
      <w:pPr>
        <w:jc w:val="center"/>
        <w:rPr>
          <w:rFonts w:ascii="Verdana" w:hAnsi="Verdana"/>
          <w:i/>
          <w:iCs/>
          <w:sz w:val="18"/>
          <w:szCs w:val="18"/>
        </w:rPr>
      </w:pPr>
      <w:r w:rsidRPr="007C2539">
        <w:rPr>
          <w:rFonts w:ascii="Verdana" w:hAnsi="Verdana"/>
          <w:i/>
          <w:iCs/>
          <w:sz w:val="18"/>
          <w:szCs w:val="18"/>
        </w:rPr>
        <w:t>Fuente: MADS, 20</w:t>
      </w:r>
      <w:r w:rsidRPr="007C2539" w:rsidR="00B163B9">
        <w:rPr>
          <w:rFonts w:ascii="Verdana" w:hAnsi="Verdana"/>
          <w:i/>
          <w:iCs/>
          <w:sz w:val="18"/>
          <w:szCs w:val="18"/>
        </w:rPr>
        <w:t>26</w:t>
      </w:r>
    </w:p>
    <w:p w:rsidRPr="00B163B9" w:rsidR="00943C28" w:rsidP="00943C28" w:rsidRDefault="00943C28" w14:paraId="26D68D73" w14:textId="420865FB">
      <w:pPr>
        <w:jc w:val="both"/>
        <w:rPr>
          <w:rFonts w:ascii="Verdana" w:hAnsi="Verdana"/>
          <w:sz w:val="22"/>
          <w:szCs w:val="22"/>
        </w:rPr>
      </w:pPr>
      <w:r w:rsidRPr="00B163B9">
        <w:rPr>
          <w:rFonts w:ascii="Verdana" w:hAnsi="Verdana"/>
          <w:sz w:val="22"/>
          <w:szCs w:val="22"/>
        </w:rPr>
        <w:t>En el Modelo de Financiación se consideran las propuestas de acuerdo a como se definieron en la metodología de evaluación, considerando los cuatro componentes de Demanda, Oferta, Incentivos y Mecanismo Financiero. Se presentan estructura del Modelo de Financiación, con los elementos a considerar en cada uno de los componentes.</w:t>
      </w:r>
    </w:p>
    <w:p w:rsidRPr="00B163B9" w:rsidR="00B62D98" w:rsidP="00296A31" w:rsidRDefault="00B62D98" w14:paraId="59AEF0A2" w14:textId="0B4FB3AC">
      <w:pPr>
        <w:jc w:val="both"/>
      </w:pPr>
      <w:r w:rsidRPr="4DB08123" w:rsidR="44F3E8F7">
        <w:rPr>
          <w:rFonts w:ascii="Verdana" w:hAnsi="Verdana"/>
          <w:sz w:val="22"/>
          <w:szCs w:val="22"/>
        </w:rPr>
        <w:t>A continuación, se presentan las propuestas integradas derivadas de la fase de consulta para cada componente</w:t>
      </w:r>
    </w:p>
    <w:p w:rsidR="4DB08123" w:rsidP="4DB08123" w:rsidRDefault="4DB08123" w14:paraId="4A364566" w14:textId="4A0EA265">
      <w:pPr>
        <w:jc w:val="both"/>
        <w:rPr>
          <w:rFonts w:ascii="Verdana" w:hAnsi="Verdana"/>
          <w:sz w:val="22"/>
          <w:szCs w:val="22"/>
        </w:rPr>
      </w:pPr>
    </w:p>
    <w:p w:rsidR="00296A31" w:rsidP="00C75E01" w:rsidRDefault="00296A31" w14:paraId="3734916C" w14:textId="1C4A47A8">
      <w:pPr>
        <w:pStyle w:val="Estilo5"/>
      </w:pPr>
      <w:r w:rsidRPr="00B163B9">
        <w:t>Componente de Demanda</w:t>
      </w:r>
    </w:p>
    <w:p w:rsidRPr="0052768E" w:rsidR="0052768E" w:rsidP="0052768E" w:rsidRDefault="0052768E" w14:paraId="68ABBC4A" w14:textId="77777777">
      <w:pPr>
        <w:pStyle w:val="Ttulo3"/>
      </w:pPr>
    </w:p>
    <w:p w:rsidRPr="00B163B9" w:rsidR="00296A31" w:rsidP="00296A31" w:rsidRDefault="00296A31" w14:paraId="3E15A770" w14:textId="5119D7ED">
      <w:pPr>
        <w:jc w:val="both"/>
        <w:rPr>
          <w:rFonts w:ascii="Verdana" w:hAnsi="Verdana"/>
          <w:sz w:val="22"/>
          <w:szCs w:val="22"/>
        </w:rPr>
      </w:pPr>
      <w:r w:rsidRPr="00B163B9">
        <w:rPr>
          <w:rFonts w:ascii="Verdana" w:hAnsi="Verdana"/>
          <w:sz w:val="22"/>
          <w:szCs w:val="22"/>
        </w:rPr>
        <w:t>Con respecto a la demanda, el modelo debe incluir acciones para la gestión integral del páramo dentro de las cuales se consideran la reconversión y sustitución productiva, las actividades de conservación y restauración; actividades transversales para la gestión integral del páramo, tales como la educación ambiental y las que facilitan las acciones de financiamiento y acciones que se deriven por las instancias de coordinación y fiscalización; las cuales se integraron para priorizar actividades específicas a desarrollar en la siguiente propuesta:</w:t>
      </w:r>
    </w:p>
    <w:p w:rsidRPr="00B163B9" w:rsidR="00296A31" w:rsidP="00296A31" w:rsidRDefault="00296A31" w14:paraId="709CB8CC" w14:textId="77777777">
      <w:pPr>
        <w:pStyle w:val="Prrafodelista"/>
        <w:numPr>
          <w:ilvl w:val="0"/>
          <w:numId w:val="18"/>
        </w:numPr>
        <w:jc w:val="both"/>
        <w:rPr>
          <w:rFonts w:ascii="Verdana" w:hAnsi="Verdana"/>
          <w:sz w:val="22"/>
          <w:szCs w:val="22"/>
        </w:rPr>
      </w:pPr>
      <w:r w:rsidRPr="00B163B9">
        <w:rPr>
          <w:rFonts w:ascii="Verdana" w:hAnsi="Verdana"/>
          <w:sz w:val="22"/>
          <w:szCs w:val="22"/>
        </w:rPr>
        <w:t>Saneamiento y mantenimiento predial (Valoración de servicios ambientales dentro del avalúo predios -MADS-IGAC).</w:t>
      </w:r>
    </w:p>
    <w:p w:rsidRPr="00B163B9" w:rsidR="00296A31" w:rsidP="00296A31" w:rsidRDefault="00296A31" w14:paraId="2E7DD7C0" w14:textId="77777777">
      <w:pPr>
        <w:pStyle w:val="Prrafodelista"/>
        <w:numPr>
          <w:ilvl w:val="0"/>
          <w:numId w:val="18"/>
        </w:numPr>
        <w:jc w:val="both"/>
        <w:rPr>
          <w:rFonts w:ascii="Verdana" w:hAnsi="Verdana"/>
          <w:sz w:val="22"/>
          <w:szCs w:val="22"/>
        </w:rPr>
      </w:pPr>
      <w:r w:rsidRPr="00B163B9">
        <w:rPr>
          <w:rFonts w:ascii="Verdana" w:hAnsi="Verdana"/>
          <w:sz w:val="22"/>
          <w:szCs w:val="22"/>
        </w:rPr>
        <w:t>PSA para conservación y restauración</w:t>
      </w:r>
    </w:p>
    <w:p w:rsidRPr="00B163B9" w:rsidR="00296A31" w:rsidP="00296A31" w:rsidRDefault="00296A31" w14:paraId="002EF1B9" w14:textId="77777777">
      <w:pPr>
        <w:pStyle w:val="Prrafodelista"/>
        <w:numPr>
          <w:ilvl w:val="0"/>
          <w:numId w:val="18"/>
        </w:numPr>
        <w:jc w:val="both"/>
        <w:rPr>
          <w:rFonts w:ascii="Verdana" w:hAnsi="Verdana"/>
          <w:sz w:val="22"/>
          <w:szCs w:val="22"/>
        </w:rPr>
      </w:pPr>
      <w:r w:rsidRPr="00B163B9">
        <w:rPr>
          <w:rFonts w:ascii="Verdana" w:hAnsi="Verdana"/>
          <w:sz w:val="22"/>
          <w:szCs w:val="22"/>
        </w:rPr>
        <w:lastRenderedPageBreak/>
        <w:t xml:space="preserve">PSA para sistemas sostenibles asociados a programas de reconversión y sustitución. </w:t>
      </w:r>
    </w:p>
    <w:p w:rsidRPr="00B163B9" w:rsidR="00296A31" w:rsidP="00296A31" w:rsidRDefault="00296A31" w14:paraId="6B8B9060" w14:textId="77777777">
      <w:pPr>
        <w:pStyle w:val="Prrafodelista"/>
        <w:numPr>
          <w:ilvl w:val="0"/>
          <w:numId w:val="18"/>
        </w:numPr>
        <w:jc w:val="both"/>
        <w:rPr>
          <w:rFonts w:ascii="Verdana" w:hAnsi="Verdana"/>
          <w:sz w:val="22"/>
          <w:szCs w:val="22"/>
        </w:rPr>
      </w:pPr>
      <w:r w:rsidRPr="00B163B9">
        <w:rPr>
          <w:rFonts w:ascii="Verdana" w:hAnsi="Verdana"/>
          <w:sz w:val="22"/>
          <w:szCs w:val="22"/>
        </w:rPr>
        <w:t>Transversales: educación ambiental, fortalecimiento institucional: formulación y gestión de proyectos, gestores de páramos</w:t>
      </w:r>
    </w:p>
    <w:p w:rsidRPr="00B163B9" w:rsidR="00296A31" w:rsidP="00296A31" w:rsidRDefault="00296A31" w14:paraId="6E2C8E2F" w14:textId="5DE15593">
      <w:pPr>
        <w:pStyle w:val="Prrafodelista"/>
        <w:numPr>
          <w:ilvl w:val="0"/>
          <w:numId w:val="18"/>
        </w:numPr>
        <w:jc w:val="both"/>
        <w:rPr>
          <w:rFonts w:ascii="Verdana" w:hAnsi="Verdana"/>
          <w:sz w:val="22"/>
          <w:szCs w:val="22"/>
        </w:rPr>
      </w:pPr>
      <w:r w:rsidRPr="00B163B9">
        <w:rPr>
          <w:rFonts w:ascii="Verdana" w:hAnsi="Verdana"/>
          <w:sz w:val="22"/>
          <w:szCs w:val="22"/>
        </w:rPr>
        <w:t>Apoyo sistema de fiscalización e instancia de coordinación.</w:t>
      </w:r>
    </w:p>
    <w:p w:rsidRPr="00B163B9" w:rsidR="00296A31" w:rsidP="00296A31" w:rsidRDefault="00296A31" w14:paraId="3F241CF6" w14:textId="18DAC295">
      <w:pPr>
        <w:ind w:left="360"/>
        <w:jc w:val="both"/>
        <w:rPr>
          <w:rFonts w:ascii="Verdana" w:hAnsi="Verdana"/>
          <w:sz w:val="22"/>
          <w:szCs w:val="22"/>
        </w:rPr>
      </w:pPr>
      <w:r w:rsidRPr="00B163B9">
        <w:rPr>
          <w:rFonts w:ascii="Verdana" w:hAnsi="Verdana"/>
          <w:sz w:val="22"/>
          <w:szCs w:val="22"/>
        </w:rPr>
        <w:t>También deben contemplarse, recursos para desarrollar el censo agropecuario que va a definir con precisión la magnitud de las necesidades financieras por actividad.</w:t>
      </w:r>
    </w:p>
    <w:p w:rsidRPr="00B163B9" w:rsidR="00296A31" w:rsidP="00296A31" w:rsidRDefault="00296A31" w14:paraId="6777CC5A" w14:textId="77777777">
      <w:pPr>
        <w:jc w:val="both"/>
        <w:rPr>
          <w:rFonts w:ascii="Verdana" w:hAnsi="Verdana"/>
          <w:sz w:val="22"/>
          <w:szCs w:val="22"/>
        </w:rPr>
      </w:pPr>
      <w:r w:rsidRPr="00B163B9">
        <w:rPr>
          <w:rFonts w:ascii="Verdana" w:hAnsi="Verdana"/>
          <w:sz w:val="22"/>
          <w:szCs w:val="22"/>
        </w:rPr>
        <w:t>De otro lado para los negocios verdes, se propone:</w:t>
      </w:r>
    </w:p>
    <w:p w:rsidRPr="00B163B9" w:rsidR="00296A31" w:rsidP="00296A31" w:rsidRDefault="00296A31" w14:paraId="415AE9D6" w14:textId="7C453DDA">
      <w:pPr>
        <w:pStyle w:val="Prrafodelista"/>
        <w:numPr>
          <w:ilvl w:val="0"/>
          <w:numId w:val="18"/>
        </w:numPr>
        <w:jc w:val="both"/>
        <w:rPr>
          <w:rFonts w:ascii="Verdana" w:hAnsi="Verdana"/>
          <w:sz w:val="22"/>
          <w:szCs w:val="22"/>
        </w:rPr>
      </w:pPr>
      <w:r w:rsidRPr="00B163B9">
        <w:rPr>
          <w:rFonts w:ascii="Verdana" w:hAnsi="Verdana"/>
          <w:sz w:val="22"/>
          <w:szCs w:val="22"/>
        </w:rPr>
        <w:t>Promover que algunas alternativas productivas del programa de reconversión y sustitución, deriven en negocios verdes</w:t>
      </w:r>
    </w:p>
    <w:p w:rsidRPr="00B163B9" w:rsidR="00296A31" w:rsidP="00B62D98" w:rsidRDefault="00296A31" w14:paraId="5364829B" w14:textId="550B9FEB">
      <w:pPr>
        <w:pStyle w:val="Prrafodelista"/>
        <w:numPr>
          <w:ilvl w:val="0"/>
          <w:numId w:val="18"/>
        </w:numPr>
        <w:jc w:val="both"/>
        <w:rPr>
          <w:rFonts w:ascii="Verdana" w:hAnsi="Verdana"/>
          <w:sz w:val="22"/>
          <w:szCs w:val="22"/>
        </w:rPr>
      </w:pPr>
      <w:r w:rsidRPr="00B163B9">
        <w:rPr>
          <w:rFonts w:ascii="Verdana" w:hAnsi="Verdana"/>
          <w:sz w:val="22"/>
          <w:szCs w:val="22"/>
        </w:rPr>
        <w:t>Productos y servicios de páramos escalen a nivel nacional y obtengan acompañamiento en mejoramiento de procesos y vinculación a cadenas de valor; así como acceso a incentivos económicos por el sector ambiental y agropecuario.</w:t>
      </w:r>
    </w:p>
    <w:p w:rsidRPr="00B163B9" w:rsidR="00296A31" w:rsidP="00296A31" w:rsidRDefault="00296A31" w14:paraId="51F35950" w14:textId="18F014AA">
      <w:pPr>
        <w:pStyle w:val="Prrafodelista"/>
        <w:numPr>
          <w:ilvl w:val="0"/>
          <w:numId w:val="18"/>
        </w:numPr>
        <w:jc w:val="both"/>
        <w:rPr>
          <w:rFonts w:ascii="Verdana" w:hAnsi="Verdana"/>
          <w:sz w:val="22"/>
          <w:szCs w:val="22"/>
        </w:rPr>
      </w:pPr>
      <w:r w:rsidRPr="00B163B9">
        <w:rPr>
          <w:rFonts w:ascii="Verdana" w:hAnsi="Verdana"/>
          <w:sz w:val="22"/>
          <w:szCs w:val="22"/>
        </w:rPr>
        <w:t>Desarrollar hoja de ruta para implementación de ecoturismo en municipios interesados</w:t>
      </w:r>
    </w:p>
    <w:p w:rsidRPr="00B163B9" w:rsidR="00296A31" w:rsidP="00B62D98" w:rsidRDefault="00296A31" w14:paraId="576944BA" w14:textId="573D1FC8">
      <w:pPr>
        <w:jc w:val="both"/>
        <w:rPr>
          <w:rFonts w:ascii="Verdana" w:hAnsi="Verdana"/>
          <w:sz w:val="22"/>
          <w:szCs w:val="22"/>
        </w:rPr>
      </w:pPr>
      <w:r w:rsidRPr="00B163B9">
        <w:rPr>
          <w:rFonts w:ascii="Verdana" w:hAnsi="Verdana"/>
          <w:sz w:val="22"/>
          <w:szCs w:val="22"/>
        </w:rPr>
        <w:t>Caracterizar en municipios interesados áreas potenciales de ecoturismo</w:t>
      </w:r>
      <w:r w:rsidRPr="00B163B9" w:rsidR="00B62D98">
        <w:rPr>
          <w:rFonts w:ascii="Verdana" w:hAnsi="Verdana"/>
          <w:sz w:val="22"/>
          <w:szCs w:val="22"/>
        </w:rPr>
        <w:t xml:space="preserve"> t</w:t>
      </w:r>
      <w:r w:rsidRPr="00B163B9">
        <w:rPr>
          <w:rFonts w:ascii="Verdana" w:hAnsi="Verdana"/>
          <w:sz w:val="22"/>
          <w:szCs w:val="22"/>
        </w:rPr>
        <w:t xml:space="preserve">odo esto a través de estrategias de Capacitación, Emprendimiento, (Propiciando procesos de capacitación en negocios verdes y de emprendimientos verdes e inclusivos para fortalecer las iniciativas de negocios existentes y para crear nuevas propuestas), Comercialización, promoción de Líneas productivas, (a través de la creación de la Marca Especial Páramo como un incentivo para los negocios verdes generados, con el fin de darles un mayor valor agregado y </w:t>
      </w:r>
      <w:r w:rsidRPr="00B163B9" w:rsidR="00B62D98">
        <w:rPr>
          <w:rFonts w:ascii="Verdana" w:hAnsi="Verdana"/>
          <w:sz w:val="22"/>
          <w:szCs w:val="22"/>
        </w:rPr>
        <w:t>visibilizarían</w:t>
      </w:r>
      <w:r w:rsidRPr="00B163B9">
        <w:rPr>
          <w:rFonts w:ascii="Verdana" w:hAnsi="Verdana"/>
          <w:sz w:val="22"/>
          <w:szCs w:val="22"/>
        </w:rPr>
        <w:t xml:space="preserve"> en el desarrollo de la actividad), Incentivos y desarrollos normativos. en el área de páramo.</w:t>
      </w:r>
    </w:p>
    <w:p w:rsidR="00B62D98" w:rsidP="00B62D98" w:rsidRDefault="00B163B9" w14:paraId="517A770A" w14:textId="6A70CB49">
      <w:pPr>
        <w:jc w:val="both"/>
        <w:rPr>
          <w:rFonts w:ascii="Verdana" w:hAnsi="Verdana"/>
          <w:sz w:val="22"/>
          <w:szCs w:val="22"/>
        </w:rPr>
      </w:pPr>
      <w:r w:rsidRPr="001B62BF">
        <w:rPr>
          <w:rFonts w:ascii="Verdana" w:hAnsi="Verdana"/>
          <w:sz w:val="22"/>
          <w:szCs w:val="22"/>
        </w:rPr>
        <w:t xml:space="preserve">Las </w:t>
      </w:r>
      <w:r w:rsidRPr="007C2539" w:rsidR="001B62BF">
        <w:rPr>
          <w:rFonts w:ascii="Verdana" w:hAnsi="Verdana"/>
          <w:i/>
          <w:iCs/>
          <w:sz w:val="22"/>
          <w:szCs w:val="22"/>
        </w:rPr>
        <w:t>Ilustraciones 5 y 6</w:t>
      </w:r>
      <w:r w:rsidRPr="001B62BF">
        <w:rPr>
          <w:rFonts w:ascii="Verdana" w:hAnsi="Verdana"/>
          <w:b/>
          <w:bCs/>
          <w:sz w:val="22"/>
          <w:szCs w:val="22"/>
        </w:rPr>
        <w:t xml:space="preserve"> </w:t>
      </w:r>
      <w:r w:rsidRPr="001B62BF">
        <w:rPr>
          <w:rFonts w:ascii="Verdana" w:hAnsi="Verdana"/>
          <w:sz w:val="22"/>
          <w:szCs w:val="22"/>
        </w:rPr>
        <w:t>muestran la distribución de las propuestas priorizadas para el componente de Demanda en los departamentos de Norte de Santander y Santander, obtenidas durante la fase de concertación del Tema de Diálogo Ineludible No. 6 – Modelo de Financiación. Estas reflejan las principales necesidades de inversión identificadas por las comunidades y actores participantes para la gestión integral del Complejo de Páramos Jurisdicciones–Santurbán–Berlín.</w:t>
      </w:r>
    </w:p>
    <w:p w:rsidRPr="007C2539" w:rsidR="00B33E1B" w:rsidP="001B62BF" w:rsidRDefault="007C2539" w14:paraId="53C5974D" w14:textId="09B1D2CA">
      <w:pPr>
        <w:pStyle w:val="Descripcin"/>
        <w:jc w:val="center"/>
        <w:rPr>
          <w:rFonts w:ascii="Verdana" w:hAnsi="Verdana"/>
          <w:sz w:val="18"/>
          <w:szCs w:val="18"/>
        </w:rPr>
      </w:pPr>
      <w:bookmarkStart w:name="_Toc234617636" w:id="40"/>
      <w:bookmarkStart w:name="_Toc234617744" w:id="41"/>
      <w:bookmarkStart w:name="_Toc234617942" w:id="42"/>
      <w:bookmarkStart w:name="_Toc234618842" w:id="43"/>
      <w:r w:rsidRPr="007C2539">
        <w:rPr>
          <w:rFonts w:ascii="Verdana" w:hAnsi="Verdana"/>
          <w:sz w:val="18"/>
          <w:szCs w:val="18"/>
        </w:rPr>
        <w:t xml:space="preserve">ILUSTRACIÓN </w:t>
      </w:r>
      <w:r w:rsidRPr="007C2539" w:rsidR="001B62BF">
        <w:rPr>
          <w:rFonts w:ascii="Verdana" w:hAnsi="Verdana"/>
          <w:sz w:val="18"/>
          <w:szCs w:val="18"/>
        </w:rPr>
        <w:fldChar w:fldCharType="begin"/>
      </w:r>
      <w:r w:rsidRPr="007C2539" w:rsidR="001B62BF">
        <w:rPr>
          <w:rFonts w:ascii="Verdana" w:hAnsi="Verdana"/>
          <w:sz w:val="18"/>
          <w:szCs w:val="18"/>
        </w:rPr>
        <w:instrText xml:space="preserve"> SEQ Ilustración \* ARABIC </w:instrText>
      </w:r>
      <w:r w:rsidRPr="007C2539" w:rsidR="001B62BF">
        <w:rPr>
          <w:rFonts w:ascii="Verdana" w:hAnsi="Verdana"/>
          <w:sz w:val="18"/>
          <w:szCs w:val="18"/>
        </w:rPr>
        <w:fldChar w:fldCharType="separate"/>
      </w:r>
      <w:r w:rsidRPr="007C2539">
        <w:rPr>
          <w:rFonts w:ascii="Verdana" w:hAnsi="Verdana"/>
          <w:noProof/>
          <w:sz w:val="18"/>
          <w:szCs w:val="18"/>
        </w:rPr>
        <w:t>5</w:t>
      </w:r>
      <w:r w:rsidRPr="007C2539" w:rsidR="001B62BF">
        <w:rPr>
          <w:rFonts w:ascii="Verdana" w:hAnsi="Verdana"/>
          <w:sz w:val="18"/>
          <w:szCs w:val="18"/>
        </w:rPr>
        <w:fldChar w:fldCharType="end"/>
      </w:r>
      <w:r w:rsidRPr="007C2539">
        <w:rPr>
          <w:rFonts w:ascii="Verdana" w:hAnsi="Verdana"/>
          <w:sz w:val="18"/>
          <w:szCs w:val="18"/>
        </w:rPr>
        <w:t>. PROPUESTAS COMPONENTE DE DEMANDA - FASE DE CONSULTA, NORTE DE SANTANDER</w:t>
      </w:r>
      <w:bookmarkEnd w:id="40"/>
      <w:bookmarkEnd w:id="41"/>
      <w:bookmarkEnd w:id="42"/>
      <w:bookmarkEnd w:id="43"/>
    </w:p>
    <w:tbl>
      <w:tblPr>
        <w:tblStyle w:val="Tablaconcuadrcula"/>
        <w:tblW w:w="0" w:type="auto"/>
        <w:tblLook w:val="04A0" w:firstRow="1" w:lastRow="0" w:firstColumn="1" w:lastColumn="0" w:noHBand="0" w:noVBand="1"/>
      </w:tblPr>
      <w:tblGrid>
        <w:gridCol w:w="8828"/>
      </w:tblGrid>
      <w:tr w:rsidR="001B62BF" w:rsidTr="4DB08123" w14:paraId="5AEF75BF" w14:textId="77777777">
        <w:tc>
          <w:tcPr>
            <w:tcW w:w="8828" w:type="dxa"/>
            <w:tcMar/>
          </w:tcPr>
          <w:p w:rsidR="001B62BF" w:rsidP="001B62BF" w:rsidRDefault="001B62BF" w14:paraId="048AC68B" w14:textId="3453F6D3">
            <w:r>
              <w:rPr>
                <w:noProof/>
              </w:rPr>
              <w:lastRenderedPageBreak/>
              <w:drawing>
                <wp:anchor distT="0" distB="0" distL="114300" distR="114300" simplePos="0" relativeHeight="251658240" behindDoc="0" locked="0" layoutInCell="1" allowOverlap="1" wp14:anchorId="7A1824E8" wp14:editId="48DED2D9">
                  <wp:simplePos x="0" y="0"/>
                  <wp:positionH relativeFrom="column">
                    <wp:posOffset>133985</wp:posOffset>
                  </wp:positionH>
                  <wp:positionV relativeFrom="paragraph">
                    <wp:posOffset>74930</wp:posOffset>
                  </wp:positionV>
                  <wp:extent cx="5076825" cy="2276475"/>
                  <wp:effectExtent l="0" t="0" r="9525" b="9525"/>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76825" cy="2276475"/>
                          </a:xfrm>
                          <a:prstGeom prst="rect">
                            <a:avLst/>
                          </a:prstGeom>
                          <a:noFill/>
                        </pic:spPr>
                      </pic:pic>
                    </a:graphicData>
                  </a:graphic>
                  <wp14:sizeRelH relativeFrom="page">
                    <wp14:pctWidth>0</wp14:pctWidth>
                  </wp14:sizeRelH>
                  <wp14:sizeRelV relativeFrom="page">
                    <wp14:pctHeight>0</wp14:pctHeight>
                  </wp14:sizeRelV>
                </wp:anchor>
              </w:drawing>
            </w:r>
          </w:p>
        </w:tc>
      </w:tr>
      <w:tr w:rsidR="001B62BF" w:rsidTr="4DB08123" w14:paraId="1CE4C4B5" w14:textId="77777777">
        <w:tc>
          <w:tcPr>
            <w:tcW w:w="8828" w:type="dxa"/>
            <w:tcMar/>
          </w:tcPr>
          <w:p w:rsidR="001B62BF" w:rsidP="001B62BF" w:rsidRDefault="001B62BF" w14:paraId="434E2CC8" w14:textId="77777777">
            <w:r w:rsidRPr="00B163B9">
              <w:rPr>
                <w:rFonts w:ascii="Verdana" w:hAnsi="Verdana"/>
                <w:noProof/>
                <w:sz w:val="22"/>
                <w:szCs w:val="22"/>
              </w:rPr>
              <w:drawing>
                <wp:anchor distT="0" distB="0" distL="114300" distR="114300" simplePos="0" relativeHeight="251659264" behindDoc="0" locked="0" layoutInCell="1" allowOverlap="1" wp14:anchorId="1D3AE5C6" wp14:editId="098CD6B4">
                  <wp:simplePos x="0" y="0"/>
                  <wp:positionH relativeFrom="column">
                    <wp:posOffset>895985</wp:posOffset>
                  </wp:positionH>
                  <wp:positionV relativeFrom="paragraph">
                    <wp:posOffset>41910</wp:posOffset>
                  </wp:positionV>
                  <wp:extent cx="5157318" cy="2504983"/>
                  <wp:effectExtent l="0" t="0" r="5715" b="0"/>
                  <wp:wrapSquare wrapText="bothSides"/>
                  <wp:docPr id="7" name="Imagen 5">
                    <a:extLst>
                      <a:ext uri="{FF2B5EF4-FFF2-40B4-BE49-F238E27FC236}">
                        <a16:creationId xmlns:a16="http://schemas.microsoft.com/office/drawing/2014/main" id="{04EA0951-070F-6264-B01E-C0FDB8288E9D}"/>
                      </a:ext>
                    </a:extLst>
                  </wp:docPr>
                  <wp:cNvGraphicFramePr>
                    <a:graphicFrameLocks xmlns:a="http://schemas.openxmlformats.org/drawingml/2006/main" noChangeAspect="1"/>
                  </wp:cNvGraphicFramePr>
                  <a:graphic xmlns:a="http://schemas.openxmlformats.org/drawingml/2006/main">
                    <a:graphicData xmlns:a="http://schemas.openxmlformats.org/drawingml/2006/main" uri="http://schemas.openxmlformats.org/drawingml/2006/picture">
                      <pic:pic xmlns:pic="http://schemas.openxmlformats.org/drawingml/2006/picture">
                        <pic:nvPicPr>
                          <pic:cNvPr id="6" name="Imagen 5">
                            <a:extLst>
                              <a:ext uri="{FF2B5EF4-FFF2-40B4-BE49-F238E27FC236}">
                                <a16:creationId xmlns:a16="http://schemas.microsoft.com/office/drawing/2014/main" id="{04EA0951-070F-6264-B01E-C0FDB8288E9D}"/>
                              </a:ext>
                            </a:extLst>
                          </pic:cNvPr>
                          <pic:cNvPicPr>
                            <a:picLocks noChangeAspect="1"/>
                          </pic:cNvPicPr>
                        </pic:nvPicPr>
                        <pic:blipFill>
                          <a:blip xmlns:r="http://schemas.openxmlformats.org/officeDocument/2006/relationships" r:embed="rId17" cstate="print">
                            <a:extLst>
                              <a:ext uri="{28A0092B-C50C-407E-A947-70E740481C1C}">
                                <a14:useLocalDpi xmlns:a14="http://schemas.microsoft.com/office/drawing/2010/main" val="0"/>
                              </a:ext>
                            </a:extLst>
                          </a:blip>
                          <a:srcRect/>
                          <a:stretch>
                            <a:fillRect/>
                          </a:stretch>
                        </pic:blipFill>
                        <pic:spPr>
                          <a:xfrm>
                            <a:off x="0" y="0"/>
                            <a:ext cx="5157318" cy="2504983"/>
                          </a:xfrm>
                          <a:prstGeom prst="rect">
                            <a:avLst/>
                          </a:prstGeom>
                        </pic:spPr>
                      </pic:pic>
                    </a:graphicData>
                  </a:graphic>
                  <wp14:sizeRelH relativeFrom="page">
                    <wp14:pctWidth>0</wp14:pctWidth>
                  </wp14:sizeRelH>
                  <wp14:sizeRelV relativeFrom="page">
                    <wp14:pctHeight>0</wp14:pctHeight>
                  </wp14:sizeRelV>
                </wp:anchor>
              </w:drawing>
            </w:r>
          </w:p>
          <w:p w:rsidRPr="001B62BF" w:rsidR="001B62BF" w:rsidP="001B62BF" w:rsidRDefault="001B62BF" w14:paraId="36945CDF" w14:textId="77777777"/>
          <w:p w:rsidRPr="001B62BF" w:rsidR="001B62BF" w:rsidP="001B62BF" w:rsidRDefault="001B62BF" w14:paraId="5E8DD79A" w14:textId="77777777"/>
          <w:p w:rsidRPr="001B62BF" w:rsidR="001B62BF" w:rsidP="001B62BF" w:rsidRDefault="001B62BF" w14:paraId="29F4DEE7" w14:textId="77777777"/>
          <w:p w:rsidRPr="001B62BF" w:rsidR="001B62BF" w:rsidP="001B62BF" w:rsidRDefault="001B62BF" w14:paraId="5D4F7CCB" w14:textId="77777777"/>
          <w:p w:rsidRPr="001B62BF" w:rsidR="001B62BF" w:rsidP="001B62BF" w:rsidRDefault="001B62BF" w14:paraId="60AB2402" w14:textId="77777777"/>
          <w:p w:rsidR="001B62BF" w:rsidP="001B62BF" w:rsidRDefault="001B62BF" w14:paraId="072A0F6D" w14:textId="77777777"/>
          <w:p w:rsidRPr="001B62BF" w:rsidR="001B62BF" w:rsidP="001B62BF" w:rsidRDefault="001B62BF" w14:paraId="2F850385" w14:textId="739E7660"/>
        </w:tc>
      </w:tr>
    </w:tbl>
    <w:p w:rsidRPr="001B62BF" w:rsidR="001B62BF" w:rsidP="001B62BF" w:rsidRDefault="001B62BF" w14:paraId="4966F0BD" w14:textId="77777777"/>
    <w:p w:rsidR="00B62D98" w:rsidP="00B163B9" w:rsidRDefault="00B62D98" w14:paraId="396BD540" w14:textId="1413C109">
      <w:pPr>
        <w:jc w:val="center"/>
        <w:rPr>
          <w:rFonts w:ascii="Verdana" w:hAnsi="Verdana"/>
          <w:sz w:val="22"/>
          <w:szCs w:val="22"/>
        </w:rPr>
      </w:pPr>
    </w:p>
    <w:p w:rsidRPr="007C2539" w:rsidR="001B62BF" w:rsidP="00B163B9" w:rsidRDefault="001B62BF" w14:paraId="0D7F168E" w14:textId="7FAE58C2">
      <w:pPr>
        <w:jc w:val="center"/>
        <w:rPr>
          <w:rFonts w:ascii="Verdana" w:hAnsi="Verdana"/>
          <w:i/>
          <w:iCs/>
          <w:sz w:val="18"/>
          <w:szCs w:val="18"/>
        </w:rPr>
      </w:pPr>
      <w:r w:rsidRPr="007C2539">
        <w:rPr>
          <w:rFonts w:ascii="Verdana" w:hAnsi="Verdana"/>
          <w:i/>
          <w:iCs/>
          <w:sz w:val="18"/>
          <w:szCs w:val="18"/>
        </w:rPr>
        <w:t>Fuente: MADS. 2019</w:t>
      </w:r>
    </w:p>
    <w:p w:rsidRPr="007C2539" w:rsidR="001B62BF" w:rsidP="001B62BF" w:rsidRDefault="007C2539" w14:paraId="5E9009A1" w14:textId="037B442C">
      <w:pPr>
        <w:pStyle w:val="Descripcin"/>
        <w:jc w:val="center"/>
        <w:rPr>
          <w:rFonts w:ascii="Verdana" w:hAnsi="Verdana"/>
          <w:i/>
          <w:iCs/>
          <w:sz w:val="18"/>
          <w:szCs w:val="18"/>
        </w:rPr>
      </w:pPr>
      <w:bookmarkStart w:name="_Toc234617637" w:id="44"/>
      <w:bookmarkStart w:name="_Toc234617745" w:id="45"/>
      <w:bookmarkStart w:name="_Toc234617943" w:id="46"/>
      <w:bookmarkStart w:name="_Toc234618843" w:id="47"/>
      <w:r w:rsidRPr="007C2539">
        <w:rPr>
          <w:rFonts w:ascii="Verdana" w:hAnsi="Verdana"/>
          <w:sz w:val="18"/>
          <w:szCs w:val="18"/>
        </w:rPr>
        <w:t xml:space="preserve">ILUSTRACIÓN </w:t>
      </w:r>
      <w:r w:rsidRPr="007C2539" w:rsidR="001B62BF">
        <w:rPr>
          <w:rFonts w:ascii="Verdana" w:hAnsi="Verdana"/>
          <w:sz w:val="18"/>
          <w:szCs w:val="18"/>
        </w:rPr>
        <w:fldChar w:fldCharType="begin"/>
      </w:r>
      <w:r w:rsidRPr="007C2539" w:rsidR="001B62BF">
        <w:rPr>
          <w:rFonts w:ascii="Verdana" w:hAnsi="Verdana"/>
          <w:sz w:val="18"/>
          <w:szCs w:val="18"/>
        </w:rPr>
        <w:instrText xml:space="preserve"> SEQ Ilustración \* ARABIC </w:instrText>
      </w:r>
      <w:r w:rsidRPr="007C2539" w:rsidR="001B62BF">
        <w:rPr>
          <w:rFonts w:ascii="Verdana" w:hAnsi="Verdana"/>
          <w:sz w:val="18"/>
          <w:szCs w:val="18"/>
        </w:rPr>
        <w:fldChar w:fldCharType="separate"/>
      </w:r>
      <w:r w:rsidRPr="007C2539">
        <w:rPr>
          <w:rFonts w:ascii="Verdana" w:hAnsi="Verdana"/>
          <w:noProof/>
          <w:sz w:val="18"/>
          <w:szCs w:val="18"/>
        </w:rPr>
        <w:t>6</w:t>
      </w:r>
      <w:r w:rsidRPr="007C2539" w:rsidR="001B62BF">
        <w:rPr>
          <w:rFonts w:ascii="Verdana" w:hAnsi="Verdana"/>
          <w:sz w:val="18"/>
          <w:szCs w:val="18"/>
        </w:rPr>
        <w:fldChar w:fldCharType="end"/>
      </w:r>
      <w:r w:rsidRPr="007C2539">
        <w:rPr>
          <w:rFonts w:ascii="Verdana" w:hAnsi="Verdana"/>
          <w:sz w:val="18"/>
          <w:szCs w:val="18"/>
        </w:rPr>
        <w:t>. PROPUESTAS COMPONENTE DE DEMANDA - FASE DE CONSULTA, SANTANDER</w:t>
      </w:r>
      <w:bookmarkEnd w:id="44"/>
      <w:bookmarkEnd w:id="45"/>
      <w:bookmarkEnd w:id="46"/>
      <w:bookmarkEnd w:id="47"/>
    </w:p>
    <w:tbl>
      <w:tblPr>
        <w:tblStyle w:val="Tablaconcuadrcula"/>
        <w:tblW w:w="0" w:type="auto"/>
        <w:tblLook w:val="04A0" w:firstRow="1" w:lastRow="0" w:firstColumn="1" w:lastColumn="0" w:noHBand="0" w:noVBand="1"/>
      </w:tblPr>
      <w:tblGrid>
        <w:gridCol w:w="8828"/>
      </w:tblGrid>
      <w:tr w:rsidR="001B62BF" w:rsidTr="4DB08123" w14:paraId="4A0B629E" w14:textId="77777777">
        <w:tc>
          <w:tcPr>
            <w:tcW w:w="8828" w:type="dxa"/>
            <w:tcMar/>
          </w:tcPr>
          <w:p w:rsidR="001B62BF" w:rsidP="001B62BF" w:rsidRDefault="001B62BF" w14:paraId="585B8508" w14:textId="098A64E9">
            <w:pPr>
              <w:rPr>
                <w:rFonts w:ascii="Verdana" w:hAnsi="Verdana"/>
                <w:sz w:val="22"/>
                <w:szCs w:val="22"/>
              </w:rPr>
            </w:pPr>
            <w:r w:rsidRPr="00B163B9">
              <w:rPr>
                <w:rFonts w:ascii="Verdana" w:hAnsi="Verdana"/>
                <w:noProof/>
                <w:sz w:val="22"/>
                <w:szCs w:val="22"/>
              </w:rPr>
              <w:lastRenderedPageBreak/>
              <w:drawing>
                <wp:anchor distT="0" distB="0" distL="114300" distR="114300" simplePos="0" relativeHeight="251660288" behindDoc="0" locked="0" layoutInCell="1" allowOverlap="1" wp14:anchorId="1D4DE995" wp14:editId="40FA57BA">
                  <wp:simplePos x="0" y="0"/>
                  <wp:positionH relativeFrom="column">
                    <wp:posOffset>76835</wp:posOffset>
                  </wp:positionH>
                  <wp:positionV relativeFrom="paragraph">
                    <wp:posOffset>115570</wp:posOffset>
                  </wp:positionV>
                  <wp:extent cx="5310078" cy="2790825"/>
                  <wp:effectExtent l="0" t="0" r="5080" b="0"/>
                  <wp:wrapSquare wrapText="bothSides"/>
                  <wp:docPr id="9" name="Imagen 3">
                    <a:extLst xmlns:a="http://schemas.openxmlformats.org/drawingml/2006/main">
                      <a:ext uri="{FF2B5EF4-FFF2-40B4-BE49-F238E27FC236}">
                        <a16:creationId xmlns:a16="http://schemas.microsoft.com/office/drawing/2014/main" id="{53CA5D3C-34ED-3C82-A84E-8DB31F0AEA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53CA5D3C-34ED-3C82-A84E-8DB31F0AEAA5}"/>
                              </a:ext>
                            </a:extLst>
                          </pic:cNvPr>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310078" cy="2790825"/>
                          </a:xfrm>
                          <a:prstGeom prst="rect">
                            <a:avLst/>
                          </a:prstGeom>
                        </pic:spPr>
                      </pic:pic>
                    </a:graphicData>
                  </a:graphic>
                  <wp14:sizeRelH relativeFrom="page">
                    <wp14:pctWidth>0</wp14:pctWidth>
                  </wp14:sizeRelH>
                  <wp14:sizeRelV relativeFrom="page">
                    <wp14:pctHeight>0</wp14:pctHeight>
                  </wp14:sizeRelV>
                </wp:anchor>
              </w:drawing>
            </w:r>
          </w:p>
        </w:tc>
      </w:tr>
      <w:tr w:rsidR="001B62BF" w:rsidTr="4DB08123" w14:paraId="09590DBC" w14:textId="77777777">
        <w:tc>
          <w:tcPr>
            <w:tcW w:w="8828" w:type="dxa"/>
            <w:tcMar/>
          </w:tcPr>
          <w:p w:rsidR="001B62BF" w:rsidP="001B62BF" w:rsidRDefault="001B62BF" w14:paraId="31D311A7" w14:textId="28C98C6B">
            <w:pPr>
              <w:rPr>
                <w:rFonts w:ascii="Verdana" w:hAnsi="Verdana"/>
                <w:sz w:val="22"/>
                <w:szCs w:val="22"/>
              </w:rPr>
            </w:pPr>
            <w:r>
              <w:rPr>
                <w:rFonts w:ascii="Verdana" w:hAnsi="Verdana"/>
                <w:noProof/>
                <w:sz w:val="22"/>
                <w:szCs w:val="22"/>
              </w:rPr>
              <w:drawing>
                <wp:anchor distT="0" distB="0" distL="114300" distR="114300" simplePos="0" relativeHeight="251661312" behindDoc="0" locked="0" layoutInCell="1" allowOverlap="1" wp14:anchorId="79AEB519" wp14:editId="6A670B97">
                  <wp:simplePos x="0" y="0"/>
                  <wp:positionH relativeFrom="column">
                    <wp:posOffset>705485</wp:posOffset>
                  </wp:positionH>
                  <wp:positionV relativeFrom="paragraph">
                    <wp:posOffset>85725</wp:posOffset>
                  </wp:positionV>
                  <wp:extent cx="5157318" cy="2048510"/>
                  <wp:effectExtent l="0" t="0" r="0" b="0"/>
                  <wp:wrapSquare wrapText="bothSides"/>
                  <wp:docPr id="10" name="Imagen 10"/>
                  <wp:cNvGraphicFramePr>
                    <a:graphicFrameLocks xmlns:a="http://schemas.openxmlformats.org/drawingml/2006/main" noChangeAspect="1"/>
                  </wp:cNvGraphicFramePr>
                  <a:graphic xmlns:a="http://schemas.openxmlformats.org/drawingml/2006/main">
                    <a:graphicData xmlns:a="http://schemas.openxmlformats.org/drawingml/2006/main" uri="http://schemas.openxmlformats.org/drawingml/2006/picture">
                      <pic:pic xmlns:pic="http://schemas.openxmlformats.org/drawingml/2006/picture">
                        <pic:nvPicPr>
                          <pic:cNvPr id="0" name="Picture 4"/>
                          <pic:cNvPicPr>
                            <a:picLocks noChangeAspect="1" noChangeArrowheads="1"/>
                          </pic:cNvPicPr>
                        </pic:nvPicPr>
                        <pic:blipFill>
                          <a:blip xmlns:r="http://schemas.openxmlformats.org/officeDocument/2006/relationships" r:embed="rId19">
                            <a:extLst>
                              <a:ext uri="{28A0092B-C50C-407E-A947-70E740481C1C}">
                                <a14:useLocalDpi xmlns:a14="http://schemas.microsoft.com/office/drawing/2010/main"/>
                              </a:ext>
                            </a:extLst>
                          </a:blip>
                          <a:srcRect/>
                          <a:stretch>
                            <a:fillRect/>
                          </a:stretch>
                        </pic:blipFill>
                        <pic:spPr bwMode="auto">
                          <a:xfrm rot="0">
                            <a:off x="0" y="0"/>
                            <a:ext cx="5157318" cy="2048510"/>
                          </a:xfrm>
                          <a:prstGeom prst="rect">
                            <a:avLst/>
                          </a:prstGeom>
                          <a:noFill/>
                        </pic:spPr>
                      </pic:pic>
                    </a:graphicData>
                  </a:graphic>
                  <wp14:sizeRelH relativeFrom="page">
                    <wp14:pctWidth>0</wp14:pctWidth>
                  </wp14:sizeRelH>
                  <wp14:sizeRelV relativeFrom="page">
                    <wp14:pctHeight>0</wp14:pctHeight>
                  </wp14:sizeRelV>
                </wp:anchor>
              </w:drawing>
            </w:r>
          </w:p>
        </w:tc>
      </w:tr>
    </w:tbl>
    <w:p w:rsidRPr="007C2539" w:rsidR="001B62BF" w:rsidP="001B62BF" w:rsidRDefault="001B62BF" w14:paraId="0639975F" w14:textId="77777777">
      <w:pPr>
        <w:jc w:val="center"/>
        <w:rPr>
          <w:rFonts w:ascii="Verdana" w:hAnsi="Verdana"/>
          <w:i/>
          <w:iCs/>
          <w:sz w:val="18"/>
          <w:szCs w:val="18"/>
        </w:rPr>
      </w:pPr>
      <w:r w:rsidRPr="007C2539">
        <w:rPr>
          <w:rFonts w:ascii="Verdana" w:hAnsi="Verdana"/>
          <w:i/>
          <w:iCs/>
          <w:sz w:val="18"/>
          <w:szCs w:val="18"/>
        </w:rPr>
        <w:t>Fuente: MADS. 2019</w:t>
      </w:r>
    </w:p>
    <w:p w:rsidRPr="00B163B9" w:rsidR="00B163B9" w:rsidP="007C2539" w:rsidRDefault="00B163B9" w14:paraId="2898AE82" w14:textId="77777777">
      <w:pPr>
        <w:rPr>
          <w:rFonts w:ascii="Verdana" w:hAnsi="Verdana"/>
          <w:sz w:val="22"/>
          <w:szCs w:val="22"/>
        </w:rPr>
      </w:pPr>
    </w:p>
    <w:p w:rsidR="00B62D98" w:rsidP="00C75E01" w:rsidRDefault="00B62D98" w14:paraId="497196F6" w14:textId="1F634EEF">
      <w:pPr>
        <w:pStyle w:val="Estilo5"/>
      </w:pPr>
      <w:r w:rsidRPr="00B163B9">
        <w:t>Componente Oferta</w:t>
      </w:r>
    </w:p>
    <w:p w:rsidRPr="0052768E" w:rsidR="0052768E" w:rsidP="0052768E" w:rsidRDefault="0052768E" w14:paraId="3FD7D774" w14:textId="77777777">
      <w:pPr>
        <w:pStyle w:val="Ttulo3"/>
      </w:pPr>
    </w:p>
    <w:p w:rsidR="00B62D98" w:rsidP="00B62D98" w:rsidRDefault="00B62D98" w14:paraId="6222FFE0" w14:textId="5671528F">
      <w:pPr>
        <w:jc w:val="both"/>
        <w:rPr>
          <w:rFonts w:ascii="Verdana" w:hAnsi="Verdana"/>
          <w:sz w:val="22"/>
          <w:szCs w:val="22"/>
        </w:rPr>
      </w:pPr>
      <w:r w:rsidRPr="00B163B9">
        <w:rPr>
          <w:rFonts w:ascii="Verdana" w:hAnsi="Verdana"/>
          <w:sz w:val="22"/>
          <w:szCs w:val="22"/>
        </w:rPr>
        <w:t xml:space="preserve">Con respecto a las propuestas del componente de oferta, lo primero aclarar que las fuentes financieras están en la región (1%, tarifas de acueducto, etc.) y no </w:t>
      </w:r>
      <w:r w:rsidRPr="001B62BF">
        <w:rPr>
          <w:rFonts w:ascii="Verdana" w:hAnsi="Verdana"/>
          <w:sz w:val="22"/>
          <w:szCs w:val="22"/>
        </w:rPr>
        <w:t>en el nivel nacional, por ello la gestión debe concentrarse en el nivel regional (</w:t>
      </w:r>
      <w:r w:rsidRPr="007C2539">
        <w:rPr>
          <w:rFonts w:ascii="Verdana" w:hAnsi="Verdana"/>
          <w:i/>
          <w:iCs/>
          <w:sz w:val="22"/>
          <w:szCs w:val="22"/>
        </w:rPr>
        <w:t xml:space="preserve">ver </w:t>
      </w:r>
      <w:r w:rsidRPr="007C2539" w:rsidR="001B62BF">
        <w:rPr>
          <w:rFonts w:ascii="Verdana" w:hAnsi="Verdana"/>
          <w:i/>
          <w:iCs/>
          <w:sz w:val="22"/>
          <w:szCs w:val="22"/>
        </w:rPr>
        <w:t>ilustración 7</w:t>
      </w:r>
      <w:r w:rsidRPr="001B62BF">
        <w:rPr>
          <w:rFonts w:ascii="Verdana" w:hAnsi="Verdana"/>
          <w:sz w:val="22"/>
          <w:szCs w:val="22"/>
        </w:rPr>
        <w:t>).</w:t>
      </w:r>
    </w:p>
    <w:p w:rsidR="0052768E" w:rsidP="00B62D98" w:rsidRDefault="0052768E" w14:paraId="5479147C" w14:textId="77777777">
      <w:pPr>
        <w:jc w:val="both"/>
        <w:rPr>
          <w:rFonts w:ascii="Verdana" w:hAnsi="Verdana"/>
          <w:sz w:val="22"/>
          <w:szCs w:val="22"/>
        </w:rPr>
      </w:pPr>
    </w:p>
    <w:p w:rsidRPr="007C2539" w:rsidR="001B62BF" w:rsidP="001B62BF" w:rsidRDefault="007C2539" w14:paraId="3BF86253" w14:textId="37549F91">
      <w:pPr>
        <w:pStyle w:val="Descripcin"/>
        <w:jc w:val="center"/>
        <w:rPr>
          <w:rFonts w:ascii="Verdana" w:hAnsi="Verdana"/>
          <w:sz w:val="18"/>
          <w:szCs w:val="18"/>
        </w:rPr>
      </w:pPr>
      <w:bookmarkStart w:name="_Toc234617638" w:id="48"/>
      <w:bookmarkStart w:name="_Toc234617746" w:id="49"/>
      <w:bookmarkStart w:name="_Toc234617944" w:id="50"/>
      <w:bookmarkStart w:name="_Toc234618844" w:id="51"/>
      <w:r w:rsidRPr="007C2539">
        <w:rPr>
          <w:rFonts w:ascii="Verdana" w:hAnsi="Verdana"/>
          <w:sz w:val="18"/>
          <w:szCs w:val="18"/>
        </w:rPr>
        <w:lastRenderedPageBreak/>
        <w:t xml:space="preserve">ILUSTRACIÓN </w:t>
      </w:r>
      <w:r w:rsidRPr="007C2539" w:rsidR="001B62BF">
        <w:rPr>
          <w:rFonts w:ascii="Verdana" w:hAnsi="Verdana"/>
          <w:sz w:val="18"/>
          <w:szCs w:val="18"/>
        </w:rPr>
        <w:fldChar w:fldCharType="begin"/>
      </w:r>
      <w:r w:rsidRPr="007C2539" w:rsidR="001B62BF">
        <w:rPr>
          <w:rFonts w:ascii="Verdana" w:hAnsi="Verdana"/>
          <w:sz w:val="18"/>
          <w:szCs w:val="18"/>
        </w:rPr>
        <w:instrText xml:space="preserve"> SEQ Ilustración \* ARABIC </w:instrText>
      </w:r>
      <w:r w:rsidRPr="007C2539" w:rsidR="001B62BF">
        <w:rPr>
          <w:rFonts w:ascii="Verdana" w:hAnsi="Verdana"/>
          <w:sz w:val="18"/>
          <w:szCs w:val="18"/>
        </w:rPr>
        <w:fldChar w:fldCharType="separate"/>
      </w:r>
      <w:r w:rsidRPr="007C2539">
        <w:rPr>
          <w:rFonts w:ascii="Verdana" w:hAnsi="Verdana"/>
          <w:noProof/>
          <w:sz w:val="18"/>
          <w:szCs w:val="18"/>
        </w:rPr>
        <w:t>7</w:t>
      </w:r>
      <w:r w:rsidRPr="007C2539" w:rsidR="001B62BF">
        <w:rPr>
          <w:rFonts w:ascii="Verdana" w:hAnsi="Verdana"/>
          <w:sz w:val="18"/>
          <w:szCs w:val="18"/>
        </w:rPr>
        <w:fldChar w:fldCharType="end"/>
      </w:r>
      <w:r w:rsidRPr="007C2539">
        <w:rPr>
          <w:rFonts w:ascii="Verdana" w:hAnsi="Verdana"/>
          <w:sz w:val="18"/>
          <w:szCs w:val="18"/>
        </w:rPr>
        <w:t>. PROPUESTA INTEGRADA DEL COMPONENTE DE OFERTA</w:t>
      </w:r>
      <w:bookmarkEnd w:id="48"/>
      <w:bookmarkEnd w:id="49"/>
      <w:bookmarkEnd w:id="50"/>
      <w:bookmarkEnd w:id="51"/>
    </w:p>
    <w:p w:rsidR="00B62D98" w:rsidP="00B62D98" w:rsidRDefault="00B62D98" w14:paraId="310914B0" w14:textId="6200C0E7">
      <w:pPr>
        <w:jc w:val="center"/>
        <w:rPr>
          <w:rFonts w:ascii="Verdana" w:hAnsi="Verdana"/>
          <w:sz w:val="22"/>
          <w:szCs w:val="22"/>
        </w:rPr>
      </w:pPr>
      <w:r w:rsidRPr="00B163B9">
        <w:rPr>
          <w:rFonts w:ascii="Verdana" w:hAnsi="Verdana"/>
          <w:noProof/>
          <w:sz w:val="22"/>
          <w:szCs w:val="22"/>
        </w:rPr>
        <w:drawing>
          <wp:inline distT="0" distB="0" distL="0" distR="0" wp14:anchorId="57D27ACF" wp14:editId="3D92A554">
            <wp:extent cx="5485130" cy="2705100"/>
            <wp:effectExtent l="0" t="0" r="127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b="7486"/>
                    <a:stretch/>
                  </pic:blipFill>
                  <pic:spPr bwMode="auto">
                    <a:xfrm>
                      <a:off x="0" y="0"/>
                      <a:ext cx="5490433" cy="2707715"/>
                    </a:xfrm>
                    <a:prstGeom prst="rect">
                      <a:avLst/>
                    </a:prstGeom>
                    <a:ln>
                      <a:noFill/>
                    </a:ln>
                    <a:extLst>
                      <a:ext uri="{53640926-AAD7-44D8-BBD7-CCE9431645EC}">
                        <a14:shadowObscured xmlns:a14="http://schemas.microsoft.com/office/drawing/2010/main"/>
                      </a:ext>
                    </a:extLst>
                  </pic:spPr>
                </pic:pic>
              </a:graphicData>
            </a:graphic>
          </wp:inline>
        </w:drawing>
      </w:r>
    </w:p>
    <w:p w:rsidRPr="007C2539" w:rsidR="001B62BF" w:rsidP="001B62BF" w:rsidRDefault="001B62BF" w14:paraId="51F54671" w14:textId="0B2EA0C5">
      <w:pPr>
        <w:jc w:val="center"/>
        <w:rPr>
          <w:rFonts w:ascii="Verdana" w:hAnsi="Verdana"/>
          <w:i/>
          <w:iCs/>
          <w:sz w:val="18"/>
          <w:szCs w:val="18"/>
        </w:rPr>
      </w:pPr>
      <w:r w:rsidRPr="007C2539">
        <w:rPr>
          <w:rFonts w:ascii="Verdana" w:hAnsi="Verdana"/>
          <w:i/>
          <w:iCs/>
          <w:sz w:val="18"/>
          <w:szCs w:val="18"/>
        </w:rPr>
        <w:t>Fuente: MADS. 2019</w:t>
      </w:r>
    </w:p>
    <w:p w:rsidRPr="00B163B9" w:rsidR="00DF614C" w:rsidP="00DF614C" w:rsidRDefault="00DF614C" w14:paraId="497487B3" w14:textId="36802D98">
      <w:pPr>
        <w:jc w:val="both"/>
        <w:rPr>
          <w:rFonts w:ascii="Verdana" w:hAnsi="Verdana"/>
          <w:sz w:val="22"/>
          <w:szCs w:val="22"/>
        </w:rPr>
      </w:pPr>
      <w:r w:rsidRPr="00B163B9">
        <w:rPr>
          <w:rFonts w:ascii="Verdana" w:hAnsi="Verdana"/>
          <w:sz w:val="22"/>
          <w:szCs w:val="22"/>
        </w:rPr>
        <w:t>La propuesta integrada se incluye la gestión de acuerdos para las fuentes regionales, para el caso del 1% la acción se debe concentrar en los departamentos, las capitales departamentales y los municipios de las áreas metropolitanas que son los entes territoriales que más ingresos corrientes tienen, por lo cual, son los de mayor potencial de esta fuente financiera.</w:t>
      </w:r>
    </w:p>
    <w:p w:rsidRPr="00B163B9" w:rsidR="00DF614C" w:rsidP="00DF614C" w:rsidRDefault="00DF614C" w14:paraId="48C4E156" w14:textId="41FCF429">
      <w:pPr>
        <w:jc w:val="both"/>
        <w:rPr>
          <w:rFonts w:ascii="Verdana" w:hAnsi="Verdana"/>
          <w:sz w:val="22"/>
          <w:szCs w:val="22"/>
        </w:rPr>
      </w:pPr>
      <w:r w:rsidRPr="00B163B9">
        <w:rPr>
          <w:rFonts w:ascii="Verdana" w:hAnsi="Verdana"/>
          <w:sz w:val="22"/>
          <w:szCs w:val="22"/>
        </w:rPr>
        <w:t>La gestión en el nivel nacional se concentra en lograr la destinación específica de un porcentaje determinado del impuesto al carbono para los páramos; así como a la formulación y gestión de proyectos para acceder a recursos del Fondo Nacional de Regalías y el Fondo Colombia en Paz; así como la cooperación internacional. De la misma manera, se gestionará la posibilidad de utilizar recursos de los fondos ambientales, particularmente el Fondo Nacional Ambiental-</w:t>
      </w:r>
      <w:proofErr w:type="spellStart"/>
      <w:r w:rsidRPr="00B163B9">
        <w:rPr>
          <w:rFonts w:ascii="Verdana" w:hAnsi="Verdana"/>
          <w:sz w:val="22"/>
          <w:szCs w:val="22"/>
        </w:rPr>
        <w:t>Fonam</w:t>
      </w:r>
      <w:proofErr w:type="spellEnd"/>
      <w:r w:rsidRPr="00B163B9">
        <w:rPr>
          <w:rFonts w:ascii="Verdana" w:hAnsi="Verdana"/>
          <w:sz w:val="22"/>
          <w:szCs w:val="22"/>
        </w:rPr>
        <w:t>.</w:t>
      </w:r>
    </w:p>
    <w:p w:rsidRPr="00B163B9" w:rsidR="00DF614C" w:rsidP="00DF614C" w:rsidRDefault="00DF614C" w14:paraId="49C15224" w14:textId="15BDC60C">
      <w:pPr>
        <w:jc w:val="both"/>
        <w:rPr>
          <w:rFonts w:ascii="Verdana" w:hAnsi="Verdana"/>
          <w:sz w:val="22"/>
          <w:szCs w:val="22"/>
        </w:rPr>
      </w:pPr>
      <w:r w:rsidRPr="00B163B9">
        <w:rPr>
          <w:rFonts w:ascii="Verdana" w:hAnsi="Verdana"/>
          <w:sz w:val="22"/>
          <w:szCs w:val="22"/>
        </w:rPr>
        <w:t>Además, se trabajará con la Agencia Nacional de Licencias Ambientales-ANLA, para que fuentes habilitadas por la ley, como las compensaciones por pérdida de biodiversidad y la inversión forzosa del 1%, puedan ser aplicadas por los dueños de proyectos licenciados en los ecosistemas de páramos, particularmente en PSA.</w:t>
      </w:r>
    </w:p>
    <w:p w:rsidRPr="00B163B9" w:rsidR="00DF614C" w:rsidP="00DF614C" w:rsidRDefault="00DF614C" w14:paraId="4A8F79BD" w14:textId="1E58B8AE">
      <w:pPr>
        <w:jc w:val="both"/>
        <w:rPr>
          <w:rFonts w:ascii="Verdana" w:hAnsi="Verdana"/>
          <w:sz w:val="22"/>
          <w:szCs w:val="22"/>
        </w:rPr>
      </w:pPr>
      <w:r w:rsidRPr="00B163B9">
        <w:rPr>
          <w:rFonts w:ascii="Verdana" w:hAnsi="Verdana"/>
          <w:sz w:val="22"/>
          <w:szCs w:val="22"/>
        </w:rPr>
        <w:t xml:space="preserve">También se trabajará para que en el mediano y largo plazo se puedan desarrollar en los ecosistemas de páramo incentivos de mercado como los bonos de carbono, aprovechando la gran capacidad que tienen los suelos de páramo de </w:t>
      </w:r>
      <w:r w:rsidRPr="00B163B9">
        <w:rPr>
          <w:rFonts w:ascii="Verdana" w:hAnsi="Verdana"/>
          <w:sz w:val="22"/>
          <w:szCs w:val="22"/>
        </w:rPr>
        <w:lastRenderedPageBreak/>
        <w:t xml:space="preserve">acumular CO2; para lo cual se está generando en estos momentos la información requerida para implementar este tipo de incentivos. </w:t>
      </w:r>
    </w:p>
    <w:p w:rsidR="00B62D98" w:rsidP="00DF614C" w:rsidRDefault="00DF614C" w14:paraId="56CB101D" w14:textId="6B564242">
      <w:pPr>
        <w:jc w:val="both"/>
        <w:rPr>
          <w:rFonts w:ascii="Verdana" w:hAnsi="Verdana"/>
          <w:sz w:val="22"/>
          <w:szCs w:val="22"/>
        </w:rPr>
      </w:pPr>
      <w:r w:rsidRPr="00B163B9">
        <w:rPr>
          <w:rFonts w:ascii="Verdana" w:hAnsi="Verdana"/>
          <w:sz w:val="22"/>
          <w:szCs w:val="22"/>
        </w:rPr>
        <w:t xml:space="preserve">Como se puede ver en la </w:t>
      </w:r>
      <w:r w:rsidRPr="001B62BF" w:rsidR="001B62BF">
        <w:rPr>
          <w:rFonts w:ascii="Verdana" w:hAnsi="Verdana"/>
          <w:i/>
          <w:iCs/>
          <w:sz w:val="22"/>
          <w:szCs w:val="22"/>
        </w:rPr>
        <w:t>Ilustración 8</w:t>
      </w:r>
      <w:r w:rsidRPr="00B163B9">
        <w:rPr>
          <w:rFonts w:ascii="Verdana" w:hAnsi="Verdana"/>
          <w:sz w:val="22"/>
          <w:szCs w:val="22"/>
        </w:rPr>
        <w:t>, la gestión integral del páramo requiere de la participación de actores públicos y privados; dentro de los actores públicos está el Sector Ambiental y las fuentes financieras que se contemplaron en la propuesta integrada que se acaba de presentar en detalle y que incluye la participación del sector privado; sin embargo, deben tenerse en cuenta otros sectores clave y que tienen tareas específicas en el marco del cumplimiento de la Sentencia T-361 de 2017, el sector agropecuario, fundamental en la reconversión y sustitución productiva y cuyos incentivos se están considerando en este modelo de financiación; y el sector minero que debe liderar el proceso de sustitución de la actividad minera que está prohibida dentro de los páramos, particularmente en el Departamento de Santander, en los municipios de Vetas, California y Suratá.</w:t>
      </w:r>
    </w:p>
    <w:p w:rsidR="001B62BF" w:rsidP="00DF614C" w:rsidRDefault="001B62BF" w14:paraId="6738DB2E" w14:textId="0B3D61A2">
      <w:pPr>
        <w:jc w:val="both"/>
        <w:rPr>
          <w:rFonts w:ascii="Verdana" w:hAnsi="Verdana"/>
          <w:sz w:val="22"/>
          <w:szCs w:val="22"/>
        </w:rPr>
      </w:pPr>
    </w:p>
    <w:p w:rsidRPr="007C2539" w:rsidR="001B62BF" w:rsidP="001B62BF" w:rsidRDefault="007C2539" w14:paraId="4CD7493C" w14:textId="0DF81EE2">
      <w:pPr>
        <w:pStyle w:val="Descripcin"/>
        <w:jc w:val="center"/>
        <w:rPr>
          <w:rFonts w:ascii="Verdana" w:hAnsi="Verdana"/>
          <w:sz w:val="18"/>
          <w:szCs w:val="18"/>
        </w:rPr>
      </w:pPr>
      <w:bookmarkStart w:name="_Toc234617639" w:id="52"/>
      <w:bookmarkStart w:name="_Toc234617747" w:id="53"/>
      <w:bookmarkStart w:name="_Toc234617945" w:id="54"/>
      <w:bookmarkStart w:name="_Toc234618845" w:id="55"/>
      <w:r w:rsidRPr="007C2539">
        <w:rPr>
          <w:rFonts w:ascii="Verdana" w:hAnsi="Verdana"/>
          <w:sz w:val="18"/>
          <w:szCs w:val="18"/>
        </w:rPr>
        <w:t xml:space="preserve">ILUSTRACIÓN </w:t>
      </w:r>
      <w:r w:rsidRPr="007C2539" w:rsidR="001B62BF">
        <w:rPr>
          <w:rFonts w:ascii="Verdana" w:hAnsi="Verdana"/>
          <w:sz w:val="18"/>
          <w:szCs w:val="18"/>
        </w:rPr>
        <w:fldChar w:fldCharType="begin"/>
      </w:r>
      <w:r w:rsidRPr="007C2539" w:rsidR="001B62BF">
        <w:rPr>
          <w:rFonts w:ascii="Verdana" w:hAnsi="Verdana"/>
          <w:sz w:val="18"/>
          <w:szCs w:val="18"/>
        </w:rPr>
        <w:instrText xml:space="preserve"> SEQ Ilustración \* ARABIC </w:instrText>
      </w:r>
      <w:r w:rsidRPr="007C2539" w:rsidR="001B62BF">
        <w:rPr>
          <w:rFonts w:ascii="Verdana" w:hAnsi="Verdana"/>
          <w:sz w:val="18"/>
          <w:szCs w:val="18"/>
        </w:rPr>
        <w:fldChar w:fldCharType="separate"/>
      </w:r>
      <w:r w:rsidRPr="007C2539">
        <w:rPr>
          <w:rFonts w:ascii="Verdana" w:hAnsi="Verdana"/>
          <w:noProof/>
          <w:sz w:val="18"/>
          <w:szCs w:val="18"/>
        </w:rPr>
        <w:t>8</w:t>
      </w:r>
      <w:r w:rsidRPr="007C2539" w:rsidR="001B62BF">
        <w:rPr>
          <w:rFonts w:ascii="Verdana" w:hAnsi="Verdana"/>
          <w:sz w:val="18"/>
          <w:szCs w:val="18"/>
        </w:rPr>
        <w:fldChar w:fldCharType="end"/>
      </w:r>
      <w:r w:rsidRPr="007C2539">
        <w:rPr>
          <w:rFonts w:ascii="Verdana" w:hAnsi="Verdana"/>
          <w:sz w:val="18"/>
          <w:szCs w:val="18"/>
        </w:rPr>
        <w:t>. FUENTES DE FINANCIACIÓN PARA LA GESTIÓN DE PARAMOS.</w:t>
      </w:r>
      <w:bookmarkEnd w:id="52"/>
      <w:bookmarkEnd w:id="53"/>
      <w:bookmarkEnd w:id="54"/>
      <w:bookmarkEnd w:id="55"/>
    </w:p>
    <w:p w:rsidR="001B62BF" w:rsidP="00DF614C" w:rsidRDefault="001B62BF" w14:paraId="011B2B1A" w14:textId="77777777">
      <w:pPr>
        <w:jc w:val="center"/>
        <w:rPr>
          <w:rFonts w:ascii="Verdana" w:hAnsi="Verdana"/>
          <w:noProof/>
          <w:sz w:val="22"/>
          <w:szCs w:val="22"/>
        </w:rPr>
      </w:pPr>
    </w:p>
    <w:p w:rsidR="00DF614C" w:rsidP="00DF614C" w:rsidRDefault="00DF614C" w14:paraId="61080818" w14:textId="497DB05E">
      <w:pPr>
        <w:jc w:val="center"/>
        <w:rPr>
          <w:rFonts w:ascii="Verdana" w:hAnsi="Verdana"/>
          <w:sz w:val="22"/>
          <w:szCs w:val="22"/>
        </w:rPr>
      </w:pPr>
      <w:r w:rsidRPr="00B163B9">
        <w:rPr>
          <w:rFonts w:ascii="Verdana" w:hAnsi="Verdana"/>
          <w:noProof/>
          <w:sz w:val="22"/>
          <w:szCs w:val="22"/>
        </w:rPr>
        <w:drawing>
          <wp:inline distT="0" distB="0" distL="0" distR="0" wp14:anchorId="4FBF2C01" wp14:editId="087445A9">
            <wp:extent cx="4603653" cy="2361875"/>
            <wp:effectExtent l="0" t="0" r="6985" b="63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547"/>
                    <a:stretch/>
                  </pic:blipFill>
                  <pic:spPr bwMode="auto">
                    <a:xfrm>
                      <a:off x="0" y="0"/>
                      <a:ext cx="4612636" cy="2366484"/>
                    </a:xfrm>
                    <a:prstGeom prst="rect">
                      <a:avLst/>
                    </a:prstGeom>
                    <a:ln>
                      <a:noFill/>
                    </a:ln>
                    <a:extLst>
                      <a:ext uri="{53640926-AAD7-44D8-BBD7-CCE9431645EC}">
                        <a14:shadowObscured xmlns:a14="http://schemas.microsoft.com/office/drawing/2010/main"/>
                      </a:ext>
                    </a:extLst>
                  </pic:spPr>
                </pic:pic>
              </a:graphicData>
            </a:graphic>
          </wp:inline>
        </w:drawing>
      </w:r>
    </w:p>
    <w:p w:rsidRPr="007C2539" w:rsidR="00A01214" w:rsidP="00A01214" w:rsidRDefault="00A01214" w14:paraId="4137688A" w14:textId="77777777">
      <w:pPr>
        <w:jc w:val="center"/>
        <w:rPr>
          <w:rFonts w:ascii="Verdana" w:hAnsi="Verdana"/>
          <w:i/>
          <w:iCs/>
          <w:sz w:val="18"/>
          <w:szCs w:val="18"/>
        </w:rPr>
      </w:pPr>
      <w:r w:rsidRPr="007C2539">
        <w:rPr>
          <w:rFonts w:ascii="Verdana" w:hAnsi="Verdana"/>
          <w:i/>
          <w:iCs/>
          <w:sz w:val="18"/>
          <w:szCs w:val="18"/>
        </w:rPr>
        <w:t>Fuente: MADS. 2019</w:t>
      </w:r>
    </w:p>
    <w:p w:rsidRPr="00B163B9" w:rsidR="00A01214" w:rsidP="00DF614C" w:rsidRDefault="00A01214" w14:paraId="75E3DA37" w14:textId="77777777">
      <w:pPr>
        <w:jc w:val="center"/>
        <w:rPr>
          <w:rFonts w:ascii="Verdana" w:hAnsi="Verdana"/>
          <w:sz w:val="22"/>
          <w:szCs w:val="22"/>
        </w:rPr>
      </w:pPr>
    </w:p>
    <w:p w:rsidRPr="00B163B9" w:rsidR="00DF614C" w:rsidP="00DF614C" w:rsidRDefault="00DF614C" w14:paraId="6540A3DC" w14:textId="1A7978C0">
      <w:pPr>
        <w:jc w:val="both"/>
      </w:pPr>
      <w:r w:rsidRPr="4DB08123" w:rsidR="11B59A7F">
        <w:rPr>
          <w:rFonts w:ascii="Verdana" w:hAnsi="Verdana"/>
          <w:sz w:val="22"/>
          <w:szCs w:val="22"/>
        </w:rPr>
        <w:t xml:space="preserve">También deben tenerse en cuenta otros sectores como el de Turismo, dadas las grandes expectativas que hay sobre el tema de ecoturismo en los páramos, el DNP que podría formular un documento </w:t>
      </w:r>
      <w:r w:rsidRPr="4DB08123" w:rsidR="11B59A7F">
        <w:rPr>
          <w:rFonts w:ascii="Verdana" w:hAnsi="Verdana"/>
          <w:sz w:val="22"/>
          <w:szCs w:val="22"/>
        </w:rPr>
        <w:t>Conpes</w:t>
      </w:r>
      <w:r w:rsidRPr="4DB08123" w:rsidR="11B59A7F">
        <w:rPr>
          <w:rFonts w:ascii="Verdana" w:hAnsi="Verdana"/>
          <w:sz w:val="22"/>
          <w:szCs w:val="22"/>
        </w:rPr>
        <w:t xml:space="preserve"> para apoyar la gestión de la delimitación del páramo y por supuesto el Ministerio de Hacienda, que fue mencionado en la etapa de consulta y que va a ser muy importante en la gestión </w:t>
      </w:r>
      <w:r w:rsidRPr="4DB08123" w:rsidR="11B59A7F">
        <w:rPr>
          <w:rFonts w:ascii="Verdana" w:hAnsi="Verdana"/>
          <w:sz w:val="22"/>
          <w:szCs w:val="22"/>
        </w:rPr>
        <w:t>que se va a desarrollar con respecto al impuesto al carbono, la cual quedó incluida en la propuesta integrada.</w:t>
      </w:r>
    </w:p>
    <w:p w:rsidR="4DB08123" w:rsidP="4DB08123" w:rsidRDefault="4DB08123" w14:paraId="7C4EC8FD" w14:textId="543F5D37">
      <w:pPr>
        <w:jc w:val="both"/>
        <w:rPr>
          <w:rFonts w:ascii="Verdana" w:hAnsi="Verdana"/>
          <w:sz w:val="22"/>
          <w:szCs w:val="22"/>
        </w:rPr>
      </w:pPr>
    </w:p>
    <w:p w:rsidRPr="00B163B9" w:rsidR="00DF614C" w:rsidP="4DB08123" w:rsidRDefault="00DF614C" w14:paraId="4323C3E7" w14:textId="7A7734A2">
      <w:pPr>
        <w:pStyle w:val="Estilo5"/>
        <w:rPr/>
      </w:pPr>
      <w:r w:rsidR="11B59A7F">
        <w:rPr/>
        <w:t xml:space="preserve">Componente Incentivos </w:t>
      </w:r>
    </w:p>
    <w:p w:rsidRPr="00B163B9" w:rsidR="00DF614C" w:rsidP="00DF614C" w:rsidRDefault="00DF614C" w14:paraId="2C24399D" w14:textId="20BE89EE">
      <w:pPr>
        <w:jc w:val="both"/>
        <w:rPr>
          <w:rFonts w:ascii="Verdana" w:hAnsi="Verdana"/>
          <w:sz w:val="22"/>
          <w:szCs w:val="22"/>
        </w:rPr>
      </w:pPr>
      <w:r w:rsidRPr="00B163B9">
        <w:rPr>
          <w:rFonts w:ascii="Verdana" w:hAnsi="Verdana"/>
          <w:sz w:val="22"/>
          <w:szCs w:val="22"/>
        </w:rPr>
        <w:t>El PSA es el incentivo que más expectativas ha generado en las comunidades y las administraciones municipales, particularmente en aquellos municipios que tienen mayor potencial agropecuario y en los que van a desarrollarse actividades en el marco de los programas de sustitución y reconversión.</w:t>
      </w:r>
    </w:p>
    <w:p w:rsidRPr="00B163B9" w:rsidR="00DF614C" w:rsidP="00DF614C" w:rsidRDefault="00DF614C" w14:paraId="2D17F0F6" w14:textId="195718C7">
      <w:pPr>
        <w:jc w:val="both"/>
        <w:rPr>
          <w:rFonts w:ascii="Verdana" w:hAnsi="Verdana"/>
          <w:sz w:val="22"/>
          <w:szCs w:val="22"/>
        </w:rPr>
      </w:pPr>
      <w:r w:rsidRPr="00B163B9">
        <w:rPr>
          <w:rFonts w:ascii="Verdana" w:hAnsi="Verdana"/>
          <w:sz w:val="22"/>
          <w:szCs w:val="22"/>
        </w:rPr>
        <w:t>El PSA está concebido como un incentivo temporal (de 3 a 5 años), después de ese período los productores para el caso de reconversión productiva agropecuaria, tienen disponibles otros incentivos como los del sector agropecuario (estos incentivos fueron la segunda categoría más mencionada en la etapa de consulta), tales como las líneas especiales de crédito-LEC, que funcionan con tasas de interés menores a las de mercado; el incentivo a la capitalización rural, que rebaja una parte de la deuda, que puede ser hasta del 40%, a los productores que tienen créditos.</w:t>
      </w:r>
    </w:p>
    <w:p w:rsidRPr="00B163B9" w:rsidR="00DF614C" w:rsidP="00DF614C" w:rsidRDefault="00DF614C" w14:paraId="42D30AAE" w14:textId="6441EF49">
      <w:pPr>
        <w:jc w:val="both"/>
        <w:rPr>
          <w:rFonts w:ascii="Verdana" w:hAnsi="Verdana"/>
          <w:sz w:val="22"/>
          <w:szCs w:val="22"/>
        </w:rPr>
      </w:pPr>
      <w:r w:rsidRPr="00B163B9">
        <w:rPr>
          <w:rFonts w:ascii="Verdana" w:hAnsi="Verdana"/>
          <w:sz w:val="22"/>
          <w:szCs w:val="22"/>
        </w:rPr>
        <w:t>De la misma manera, el sector agropecuario cuenta con incentivos a la asistencia técnica, dirigidos a los municipios que requieren fortalecer sus unidades de asistencia técnica (</w:t>
      </w:r>
      <w:proofErr w:type="spellStart"/>
      <w:r w:rsidRPr="00B163B9">
        <w:rPr>
          <w:rFonts w:ascii="Verdana" w:hAnsi="Verdana"/>
          <w:sz w:val="22"/>
          <w:szCs w:val="22"/>
        </w:rPr>
        <w:t>Umatas</w:t>
      </w:r>
      <w:proofErr w:type="spellEnd"/>
      <w:r w:rsidRPr="00B163B9">
        <w:rPr>
          <w:rFonts w:ascii="Verdana" w:hAnsi="Verdana"/>
          <w:sz w:val="22"/>
          <w:szCs w:val="22"/>
        </w:rPr>
        <w:t xml:space="preserve">) y las secretarías de agricultura, para atender a los nuevos beneficiarios incorporados a los programas de reconversión y sustitución; así como atender nuevas líneas productivas y emprendimientos de negocios verdes. Adicionalmente, el sector agropecuario tiene toda una política que incluye incentivos para la Agricultura Campesina Familiar y Comunitaria-ACFC, que corresponde a una porción importante de la agricultura que se va a desarrollar en los páramos en el marco de los programas de reconversión y sustitución. </w:t>
      </w:r>
    </w:p>
    <w:p w:rsidRPr="00B163B9" w:rsidR="00DF614C" w:rsidP="00DF614C" w:rsidRDefault="00DF614C" w14:paraId="54966C7F" w14:textId="4D20D9C8">
      <w:pPr>
        <w:jc w:val="both"/>
        <w:rPr>
          <w:rFonts w:ascii="Verdana" w:hAnsi="Verdana"/>
          <w:sz w:val="22"/>
          <w:szCs w:val="22"/>
        </w:rPr>
      </w:pPr>
      <w:r w:rsidRPr="00B163B9">
        <w:rPr>
          <w:rFonts w:ascii="Verdana" w:hAnsi="Verdana"/>
          <w:sz w:val="22"/>
          <w:szCs w:val="22"/>
        </w:rPr>
        <w:t xml:space="preserve">En el caso de conservación y restauración, el PSA se puede complementar después de un período de 3 años, por ejemplo, con incentivos como la deducción del impuesto predial (que también fue mencionado recurrentemente en la etapa de consulta), de los predios que estén ubicados en áreas protegidas o ecosistemas estratégicos como los páramos. </w:t>
      </w:r>
    </w:p>
    <w:p w:rsidRPr="00B163B9" w:rsidR="00DF614C" w:rsidP="00DF614C" w:rsidRDefault="00DF614C" w14:paraId="50B4DEDD" w14:textId="0AEDA3E8">
      <w:pPr>
        <w:jc w:val="both"/>
        <w:rPr>
          <w:rFonts w:ascii="Verdana" w:hAnsi="Verdana"/>
          <w:sz w:val="22"/>
          <w:szCs w:val="22"/>
        </w:rPr>
      </w:pPr>
      <w:r w:rsidRPr="00B163B9">
        <w:rPr>
          <w:rFonts w:ascii="Verdana" w:hAnsi="Verdana"/>
          <w:sz w:val="22"/>
          <w:szCs w:val="22"/>
        </w:rPr>
        <w:t xml:space="preserve">Para el caso de sustitución minera, el PSA se puede aplicar en actividades de restauración y debería complementarse con compensaciones tales como reubicación laboral, formación y créditos blandos, como se establece en la Sentencia, que corresponden al </w:t>
      </w:r>
      <w:proofErr w:type="spellStart"/>
      <w:r w:rsidRPr="00B163B9">
        <w:rPr>
          <w:rFonts w:ascii="Verdana" w:hAnsi="Verdana"/>
          <w:sz w:val="22"/>
          <w:szCs w:val="22"/>
        </w:rPr>
        <w:t>Minminas</w:t>
      </w:r>
      <w:proofErr w:type="spellEnd"/>
      <w:r w:rsidRPr="00B163B9">
        <w:rPr>
          <w:rFonts w:ascii="Verdana" w:hAnsi="Verdana"/>
          <w:sz w:val="22"/>
          <w:szCs w:val="22"/>
        </w:rPr>
        <w:t>.</w:t>
      </w:r>
    </w:p>
    <w:p w:rsidRPr="00B163B9" w:rsidR="00DF614C" w:rsidP="00DF614C" w:rsidRDefault="00DF614C" w14:paraId="7F61BD37" w14:textId="5F3EA7BE">
      <w:pPr>
        <w:jc w:val="both"/>
        <w:rPr>
          <w:rFonts w:ascii="Verdana" w:hAnsi="Verdana"/>
          <w:sz w:val="22"/>
          <w:szCs w:val="22"/>
        </w:rPr>
      </w:pPr>
      <w:r w:rsidRPr="00B163B9">
        <w:rPr>
          <w:rFonts w:ascii="Verdana" w:hAnsi="Verdana"/>
          <w:sz w:val="22"/>
          <w:szCs w:val="22"/>
        </w:rPr>
        <w:lastRenderedPageBreak/>
        <w:t>En algunos de estos casos mencionados, las actividades o alternativas productivas desarrolladas en las áreas de páramo, tales como papas nativas, apicultura, ecoturismo, etc., se pueden ingresar al programa de negocios verdes; y en ese caso, los productores podrían acceder a los incentivos y demás apoyos en promoción, asistencia técnica, vinculación a mercados, etc., que han sido diseñados para apoyar a los negocios verdes.</w:t>
      </w:r>
    </w:p>
    <w:p w:rsidRPr="00B163B9" w:rsidR="00DF614C" w:rsidP="00DF614C" w:rsidRDefault="00DF614C" w14:paraId="5080A907" w14:textId="093D56FA">
      <w:pPr>
        <w:jc w:val="both"/>
        <w:rPr>
          <w:rFonts w:ascii="Verdana" w:hAnsi="Verdana"/>
          <w:sz w:val="22"/>
          <w:szCs w:val="22"/>
        </w:rPr>
      </w:pPr>
      <w:r w:rsidRPr="00B163B9">
        <w:rPr>
          <w:rFonts w:ascii="Verdana" w:hAnsi="Verdana"/>
          <w:sz w:val="22"/>
          <w:szCs w:val="22"/>
        </w:rPr>
        <w:t>La sentencia, en lo relativo al modelo de financiación, solicita la implementación rápida de programas de reconversión y sustitución; razón por la cual, aprovechando que el PSA está suficientemente reglamentado y cuenta con fuentes financieras habilitadas por la ley y disponibles; la propuesta integrada consiste, en el corto plazo, en el desarrollo de proyectos piloto de PSA con un número significativo de beneficiarios; los cuales deben ser de tamaño mediano a grande para lograr economías de escala en la formulación, cálculo del valor a pagar por hectárea año y costos operativos de los proyectos.</w:t>
      </w:r>
    </w:p>
    <w:p w:rsidRPr="00B163B9" w:rsidR="00DF614C" w:rsidP="00DF614C" w:rsidRDefault="00DF614C" w14:paraId="0172147B" w14:textId="22733A70">
      <w:pPr>
        <w:jc w:val="both"/>
        <w:rPr>
          <w:rFonts w:ascii="Verdana" w:hAnsi="Verdana"/>
          <w:sz w:val="22"/>
          <w:szCs w:val="22"/>
        </w:rPr>
      </w:pPr>
      <w:r w:rsidRPr="00B163B9">
        <w:rPr>
          <w:rFonts w:ascii="Verdana" w:hAnsi="Verdana"/>
          <w:sz w:val="22"/>
          <w:szCs w:val="22"/>
        </w:rPr>
        <w:t>Para el caso de los negocios verdes, la propuesta integrada consiste en la articulación de incentivos como PSA, que puede aplicarse en las etapas iniciales de desarrollo de negocios verdes y que se complementa en etapas posteriores con líneas especiales de crédito e incentivos tributarios.</w:t>
      </w:r>
    </w:p>
    <w:p w:rsidRPr="00B163B9" w:rsidR="00DF614C" w:rsidP="00DF614C" w:rsidRDefault="00DF614C" w14:paraId="1769C9E3" w14:textId="31908ADD">
      <w:pPr>
        <w:jc w:val="both"/>
        <w:rPr>
          <w:rFonts w:ascii="Verdana" w:hAnsi="Verdana"/>
          <w:sz w:val="22"/>
          <w:szCs w:val="22"/>
        </w:rPr>
      </w:pPr>
      <w:r w:rsidRPr="00B163B9">
        <w:rPr>
          <w:rFonts w:ascii="Verdana" w:hAnsi="Verdana"/>
          <w:sz w:val="22"/>
          <w:szCs w:val="22"/>
        </w:rPr>
        <w:t>En la fase de consulta se solicitó un incentivo específico para negocios verdes, en este sentido, la Oficina de Negocios Verdes y Sostenibles - ONVS trabaja en la reglamentación de incentivos como PSA, para que estimulen efectivamente la reconversión a sistemas productivos sostenibles que ingresen a los programas de negocios verdes, buscando una sostenibilidad en el largo plazo.</w:t>
      </w:r>
    </w:p>
    <w:p w:rsidRPr="00B163B9" w:rsidR="00DF614C" w:rsidP="00DF614C" w:rsidRDefault="00DF614C" w14:paraId="53B5B3A3" w14:textId="4B970BF3">
      <w:pPr>
        <w:jc w:val="both"/>
        <w:rPr>
          <w:rFonts w:ascii="Verdana" w:hAnsi="Verdana"/>
          <w:sz w:val="22"/>
          <w:szCs w:val="22"/>
        </w:rPr>
      </w:pPr>
      <w:r w:rsidRPr="00B163B9">
        <w:rPr>
          <w:rFonts w:ascii="Verdana" w:hAnsi="Verdana"/>
          <w:sz w:val="22"/>
          <w:szCs w:val="22"/>
        </w:rPr>
        <w:t>En el mediano plazo se propone incorporar instrumentos de mercado como los bonos de carbono, considerando el importante potencial que tienen los páramos, su vegetación y sus suelos de capturar y conservar carbono, este instrumento permite la vinculación del sector privado y fuentes internacionales.</w:t>
      </w:r>
    </w:p>
    <w:p w:rsidR="00DF614C" w:rsidP="00DF614C" w:rsidRDefault="00DF614C" w14:paraId="3D5E58F8" w14:textId="4413BF66">
      <w:pPr>
        <w:jc w:val="both"/>
        <w:rPr>
          <w:rFonts w:ascii="Verdana" w:hAnsi="Verdana"/>
          <w:i/>
          <w:iCs/>
          <w:sz w:val="22"/>
          <w:szCs w:val="22"/>
        </w:rPr>
      </w:pPr>
      <w:r w:rsidRPr="00B163B9">
        <w:rPr>
          <w:rFonts w:ascii="Verdana" w:hAnsi="Verdana"/>
          <w:sz w:val="22"/>
          <w:szCs w:val="22"/>
        </w:rPr>
        <w:t xml:space="preserve">Estas propuestas se resumen en la siguiente </w:t>
      </w:r>
      <w:r w:rsidRPr="00A01214" w:rsidR="00A01214">
        <w:rPr>
          <w:rFonts w:ascii="Verdana" w:hAnsi="Verdana"/>
          <w:i/>
          <w:iCs/>
          <w:sz w:val="22"/>
          <w:szCs w:val="22"/>
        </w:rPr>
        <w:t>Ilustración 9</w:t>
      </w:r>
      <w:r w:rsidRPr="00A01214">
        <w:rPr>
          <w:rFonts w:ascii="Verdana" w:hAnsi="Verdana"/>
          <w:i/>
          <w:iCs/>
          <w:sz w:val="22"/>
          <w:szCs w:val="22"/>
        </w:rPr>
        <w:t>:</w:t>
      </w:r>
    </w:p>
    <w:p w:rsidRPr="00B163B9" w:rsidR="0052768E" w:rsidP="00DF614C" w:rsidRDefault="0052768E" w14:paraId="44A28A8A" w14:textId="77777777">
      <w:pPr>
        <w:jc w:val="both"/>
        <w:rPr>
          <w:rFonts w:ascii="Verdana" w:hAnsi="Verdana"/>
          <w:sz w:val="22"/>
          <w:szCs w:val="22"/>
        </w:rPr>
      </w:pPr>
    </w:p>
    <w:p w:rsidRPr="007C2539" w:rsidR="00A01214" w:rsidP="00A01214" w:rsidRDefault="007C2539" w14:paraId="3C60B24A" w14:textId="7FE7C1B4">
      <w:pPr>
        <w:pStyle w:val="Descripcin"/>
        <w:jc w:val="center"/>
        <w:rPr>
          <w:rFonts w:ascii="Verdana" w:hAnsi="Verdana"/>
          <w:sz w:val="18"/>
          <w:szCs w:val="18"/>
        </w:rPr>
      </w:pPr>
      <w:bookmarkStart w:name="_Toc234617640" w:id="56"/>
      <w:bookmarkStart w:name="_Toc234617748" w:id="57"/>
      <w:bookmarkStart w:name="_Toc234617946" w:id="58"/>
      <w:bookmarkStart w:name="_Toc234618846" w:id="59"/>
      <w:r w:rsidRPr="007C2539">
        <w:rPr>
          <w:rFonts w:ascii="Verdana" w:hAnsi="Verdana"/>
          <w:sz w:val="18"/>
          <w:szCs w:val="18"/>
        </w:rPr>
        <w:t xml:space="preserve">ILUSTRACIÓN </w:t>
      </w:r>
      <w:r w:rsidRPr="007C2539" w:rsidR="00A01214">
        <w:rPr>
          <w:rFonts w:ascii="Verdana" w:hAnsi="Verdana"/>
          <w:sz w:val="18"/>
          <w:szCs w:val="18"/>
        </w:rPr>
        <w:fldChar w:fldCharType="begin"/>
      </w:r>
      <w:r w:rsidRPr="007C2539" w:rsidR="00A01214">
        <w:rPr>
          <w:rFonts w:ascii="Verdana" w:hAnsi="Verdana"/>
          <w:sz w:val="18"/>
          <w:szCs w:val="18"/>
        </w:rPr>
        <w:instrText xml:space="preserve"> SEQ Ilustración \* ARABIC </w:instrText>
      </w:r>
      <w:r w:rsidRPr="007C2539" w:rsidR="00A01214">
        <w:rPr>
          <w:rFonts w:ascii="Verdana" w:hAnsi="Verdana"/>
          <w:sz w:val="18"/>
          <w:szCs w:val="18"/>
        </w:rPr>
        <w:fldChar w:fldCharType="separate"/>
      </w:r>
      <w:r w:rsidRPr="007C2539">
        <w:rPr>
          <w:rFonts w:ascii="Verdana" w:hAnsi="Verdana"/>
          <w:noProof/>
          <w:sz w:val="18"/>
          <w:szCs w:val="18"/>
        </w:rPr>
        <w:t>9</w:t>
      </w:r>
      <w:r w:rsidRPr="007C2539" w:rsidR="00A01214">
        <w:rPr>
          <w:rFonts w:ascii="Verdana" w:hAnsi="Verdana"/>
          <w:sz w:val="18"/>
          <w:szCs w:val="18"/>
        </w:rPr>
        <w:fldChar w:fldCharType="end"/>
      </w:r>
      <w:r w:rsidRPr="007C2539">
        <w:rPr>
          <w:rFonts w:ascii="Verdana" w:hAnsi="Verdana"/>
          <w:sz w:val="18"/>
          <w:szCs w:val="18"/>
        </w:rPr>
        <w:t>. PROPUESTA INTEGRADA DEL COMPONENTE DE INVERSIÓN</w:t>
      </w:r>
      <w:bookmarkEnd w:id="56"/>
      <w:bookmarkEnd w:id="57"/>
      <w:bookmarkEnd w:id="58"/>
      <w:bookmarkEnd w:id="59"/>
    </w:p>
    <w:p w:rsidRPr="00B163B9" w:rsidR="00534799" w:rsidP="00DF614C" w:rsidRDefault="00534799" w14:paraId="7F0BB002" w14:textId="77777777">
      <w:pPr>
        <w:jc w:val="center"/>
        <w:rPr>
          <w:rFonts w:ascii="Verdana" w:hAnsi="Verdana"/>
          <w:sz w:val="22"/>
          <w:szCs w:val="22"/>
        </w:rPr>
      </w:pPr>
    </w:p>
    <w:p w:rsidR="00A01214" w:rsidP="00A01214" w:rsidRDefault="00DF614C" w14:paraId="69C8B094" w14:textId="3B3357EB">
      <w:pPr>
        <w:keepNext/>
        <w:jc w:val="center"/>
      </w:pPr>
      <w:r w:rsidRPr="00B163B9">
        <w:rPr>
          <w:rFonts w:ascii="Verdana" w:hAnsi="Verdana"/>
          <w:noProof/>
          <w:sz w:val="22"/>
          <w:szCs w:val="22"/>
        </w:rPr>
        <w:lastRenderedPageBreak/>
        <w:drawing>
          <wp:inline distT="0" distB="0" distL="0" distR="0" wp14:anchorId="3809496C" wp14:editId="696B3F05">
            <wp:extent cx="5295899" cy="2571750"/>
            <wp:effectExtent l="0" t="0" r="63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9699"/>
                    <a:stretch/>
                  </pic:blipFill>
                  <pic:spPr bwMode="auto">
                    <a:xfrm>
                      <a:off x="0" y="0"/>
                      <a:ext cx="5296639" cy="2572109"/>
                    </a:xfrm>
                    <a:prstGeom prst="rect">
                      <a:avLst/>
                    </a:prstGeom>
                    <a:ln>
                      <a:noFill/>
                    </a:ln>
                    <a:extLst>
                      <a:ext uri="{53640926-AAD7-44D8-BBD7-CCE9431645EC}">
                        <a14:shadowObscured xmlns:a14="http://schemas.microsoft.com/office/drawing/2010/main"/>
                      </a:ext>
                    </a:extLst>
                  </pic:spPr>
                </pic:pic>
              </a:graphicData>
            </a:graphic>
          </wp:inline>
        </w:drawing>
      </w:r>
    </w:p>
    <w:p w:rsidRPr="007C2539" w:rsidR="00DF614C" w:rsidP="00A01214" w:rsidRDefault="00A01214" w14:paraId="2841C612" w14:textId="47E7D258">
      <w:pPr>
        <w:keepNext/>
        <w:jc w:val="center"/>
        <w:rPr>
          <w:rFonts w:ascii="Verdana" w:hAnsi="Verdana"/>
          <w:i/>
          <w:iCs/>
          <w:sz w:val="18"/>
          <w:szCs w:val="18"/>
        </w:rPr>
      </w:pPr>
      <w:r w:rsidRPr="007C2539">
        <w:rPr>
          <w:rFonts w:ascii="Verdana" w:hAnsi="Verdana"/>
          <w:i/>
          <w:iCs/>
          <w:sz w:val="18"/>
          <w:szCs w:val="18"/>
        </w:rPr>
        <w:t>Fuente: MADS, 2019</w:t>
      </w:r>
    </w:p>
    <w:p w:rsidRPr="00B163B9" w:rsidR="00473B77" w:rsidP="00DF614C" w:rsidRDefault="00473B77" w14:paraId="60169400" w14:textId="5D38ACF9">
      <w:pPr>
        <w:jc w:val="center"/>
        <w:rPr>
          <w:rFonts w:ascii="Verdana" w:hAnsi="Verdana"/>
          <w:sz w:val="22"/>
          <w:szCs w:val="22"/>
        </w:rPr>
      </w:pPr>
    </w:p>
    <w:p w:rsidR="00473B77" w:rsidP="00C75E01" w:rsidRDefault="00473B77" w14:paraId="13F1F3CA" w14:textId="552F369B">
      <w:pPr>
        <w:pStyle w:val="Estilo5"/>
      </w:pPr>
      <w:r w:rsidRPr="00B163B9">
        <w:t xml:space="preserve"> Componente Mecanismo Financiero</w:t>
      </w:r>
    </w:p>
    <w:p w:rsidRPr="00B163B9" w:rsidR="00473B77" w:rsidP="00473B77" w:rsidRDefault="00473B77" w14:paraId="2C741FDD" w14:textId="7082B284">
      <w:pPr>
        <w:jc w:val="both"/>
        <w:rPr>
          <w:rFonts w:ascii="Verdana" w:hAnsi="Verdana"/>
          <w:sz w:val="22"/>
          <w:szCs w:val="22"/>
        </w:rPr>
      </w:pPr>
      <w:r w:rsidRPr="00B163B9">
        <w:rPr>
          <w:rFonts w:ascii="Verdana" w:hAnsi="Verdana"/>
          <w:sz w:val="22"/>
          <w:szCs w:val="22"/>
        </w:rPr>
        <w:t>Con respecto al mecanismo financiero (plataforma colaborativa), las comunidades en la etapa de consulta plantearon algunos elementos que deben orientar su operación y sus estrategias, tales como transparencia y agilidad en el manejo de los recursos; de la misma manera indicaron los actores públicos y privados que consideran deben hacer parte de la plataforma; y en algunos casos se refirieron específicamente a los fondos de agua como instrumento financiero que cumple los requerimientos básicos planteados en la Sentencia.</w:t>
      </w:r>
    </w:p>
    <w:p w:rsidRPr="00B163B9" w:rsidR="00473B77" w:rsidP="00473B77" w:rsidRDefault="00473B77" w14:paraId="3EFE0D62" w14:textId="106130C4">
      <w:pPr>
        <w:jc w:val="both"/>
        <w:rPr>
          <w:rFonts w:ascii="Verdana" w:hAnsi="Verdana"/>
          <w:sz w:val="22"/>
          <w:szCs w:val="22"/>
        </w:rPr>
      </w:pPr>
      <w:r w:rsidRPr="00B163B9">
        <w:rPr>
          <w:rFonts w:ascii="Verdana" w:hAnsi="Verdana"/>
          <w:sz w:val="22"/>
          <w:szCs w:val="22"/>
        </w:rPr>
        <w:t>El Mecanismo Financiero puede contemplar diferentes modalidades de articulación de recursos con la participación pública y privada, como los fondos de agua, acuerdos de conservación, alianzas para cuidados de las cuencas, entre otros, que faciliten la correspondencia entre la oferta y demanda a través de la aplicación de incentivos y otros instrumentos, articulando los diferentes sectores para contribuir con la conservación y reconversión de áreas priorizadas.</w:t>
      </w:r>
    </w:p>
    <w:p w:rsidRPr="00B163B9" w:rsidR="00473B77" w:rsidP="00473B77" w:rsidRDefault="00473B77" w14:paraId="3F1DA5CB" w14:textId="23DA4A65">
      <w:pPr>
        <w:jc w:val="both"/>
        <w:rPr>
          <w:rFonts w:ascii="Verdana" w:hAnsi="Verdana"/>
          <w:sz w:val="22"/>
          <w:szCs w:val="22"/>
        </w:rPr>
      </w:pPr>
      <w:r w:rsidRPr="00B163B9">
        <w:rPr>
          <w:rFonts w:ascii="Verdana" w:hAnsi="Verdana"/>
          <w:sz w:val="22"/>
          <w:szCs w:val="22"/>
        </w:rPr>
        <w:t xml:space="preserve">En Norte de Santander, algunos municipios plantearon un Fondo de convergencia, que funcionaria en el marco del Fondo de Agua de Norte de Santander existente, creado hace unos años con el apoyo de la cooperación alemana- GIZ y </w:t>
      </w:r>
      <w:r w:rsidRPr="00B163B9">
        <w:rPr>
          <w:rFonts w:ascii="Verdana" w:hAnsi="Verdana"/>
          <w:b/>
          <w:bCs/>
          <w:sz w:val="22"/>
          <w:szCs w:val="22"/>
        </w:rPr>
        <w:t>el MADS.</w:t>
      </w:r>
    </w:p>
    <w:p w:rsidRPr="00B163B9" w:rsidR="00473B77" w:rsidP="00473B77" w:rsidRDefault="00473B77" w14:paraId="4A36897C" w14:textId="1E24B6D3">
      <w:pPr>
        <w:jc w:val="both"/>
        <w:rPr>
          <w:rFonts w:ascii="Verdana" w:hAnsi="Verdana"/>
          <w:sz w:val="22"/>
          <w:szCs w:val="22"/>
        </w:rPr>
      </w:pPr>
      <w:r w:rsidRPr="00B163B9">
        <w:rPr>
          <w:rFonts w:ascii="Verdana" w:hAnsi="Verdana"/>
          <w:sz w:val="22"/>
          <w:szCs w:val="22"/>
        </w:rPr>
        <w:t xml:space="preserve">Para Santander, la alcaldía de Bucaramanga se comprometió, durante la fase de consulta, a crear un Fondo de Agua para realizar actividades de conservación en </w:t>
      </w:r>
      <w:r w:rsidRPr="00B163B9">
        <w:rPr>
          <w:rFonts w:ascii="Verdana" w:hAnsi="Verdana"/>
          <w:sz w:val="22"/>
          <w:szCs w:val="22"/>
        </w:rPr>
        <w:lastRenderedPageBreak/>
        <w:t xml:space="preserve">el páramo de Santurbán, este Fondo ya se encuentra en conformación con el auspicio de </w:t>
      </w:r>
      <w:proofErr w:type="spellStart"/>
      <w:r w:rsidRPr="00B163B9">
        <w:rPr>
          <w:rFonts w:ascii="Verdana" w:hAnsi="Verdana"/>
          <w:sz w:val="22"/>
          <w:szCs w:val="22"/>
        </w:rPr>
        <w:t>The</w:t>
      </w:r>
      <w:proofErr w:type="spellEnd"/>
      <w:r w:rsidRPr="00B163B9">
        <w:rPr>
          <w:rFonts w:ascii="Verdana" w:hAnsi="Verdana"/>
          <w:sz w:val="22"/>
          <w:szCs w:val="22"/>
        </w:rPr>
        <w:t xml:space="preserve"> </w:t>
      </w:r>
      <w:proofErr w:type="spellStart"/>
      <w:r w:rsidRPr="00B163B9">
        <w:rPr>
          <w:rFonts w:ascii="Verdana" w:hAnsi="Verdana"/>
          <w:sz w:val="22"/>
          <w:szCs w:val="22"/>
        </w:rPr>
        <w:t>Nature</w:t>
      </w:r>
      <w:proofErr w:type="spellEnd"/>
      <w:r w:rsidRPr="00B163B9">
        <w:rPr>
          <w:rFonts w:ascii="Verdana" w:hAnsi="Verdana"/>
          <w:sz w:val="22"/>
          <w:szCs w:val="22"/>
        </w:rPr>
        <w:t xml:space="preserve"> </w:t>
      </w:r>
      <w:proofErr w:type="spellStart"/>
      <w:r w:rsidRPr="00B163B9">
        <w:rPr>
          <w:rFonts w:ascii="Verdana" w:hAnsi="Verdana"/>
          <w:sz w:val="22"/>
          <w:szCs w:val="22"/>
        </w:rPr>
        <w:t>Conservancy</w:t>
      </w:r>
      <w:proofErr w:type="spellEnd"/>
      <w:r w:rsidRPr="00B163B9">
        <w:rPr>
          <w:rFonts w:ascii="Verdana" w:hAnsi="Verdana"/>
          <w:sz w:val="22"/>
          <w:szCs w:val="22"/>
        </w:rPr>
        <w:t>-TNC.</w:t>
      </w:r>
    </w:p>
    <w:p w:rsidRPr="00B163B9" w:rsidR="00473B77" w:rsidP="00473B77" w:rsidRDefault="00473B77" w14:paraId="10C3C6CC" w14:textId="70B534DC">
      <w:pPr>
        <w:jc w:val="both"/>
        <w:rPr>
          <w:rFonts w:ascii="Verdana" w:hAnsi="Verdana"/>
          <w:sz w:val="22"/>
          <w:szCs w:val="22"/>
        </w:rPr>
      </w:pPr>
      <w:r w:rsidRPr="00B163B9">
        <w:rPr>
          <w:rFonts w:ascii="Verdana" w:hAnsi="Verdana"/>
          <w:sz w:val="22"/>
          <w:szCs w:val="22"/>
        </w:rPr>
        <w:t xml:space="preserve">Teniendo en cuenta que el fondo de Norte de Santander ya está creado y el de Santander ya está en proceso de creación; la propuesta integrada consiste en el corto plazo, en fortalecer y potenciar estos fondos, garantizando la participación amplia de actores públicos y privados, así como de las comunidades habitantes del páramo; tal como lo ordena la Sentencia. </w:t>
      </w:r>
    </w:p>
    <w:p w:rsidRPr="00B163B9" w:rsidR="00473B77" w:rsidP="00473B77" w:rsidRDefault="00473B77" w14:paraId="32310BB4" w14:textId="34772E66">
      <w:pPr>
        <w:jc w:val="both"/>
        <w:rPr>
          <w:rFonts w:ascii="Verdana" w:hAnsi="Verdana"/>
          <w:sz w:val="22"/>
          <w:szCs w:val="22"/>
        </w:rPr>
      </w:pPr>
      <w:r w:rsidRPr="00B163B9">
        <w:rPr>
          <w:rFonts w:ascii="Verdana" w:hAnsi="Verdana"/>
          <w:sz w:val="22"/>
          <w:szCs w:val="22"/>
        </w:rPr>
        <w:t>También en la propuesta integrada se establece que el Mecanismo Financiero (plataforma colaborativa) debe plantearse como objetivo, balacear los componentes del Modelo de Financiación: demanda, oferta e incentivos para garantizar la sostenibilidad financiera de la gestión del páramo, lo que implica en la práctica asumir la implementación de la propuesta integrada descrita para cada uno de los tres componentes del modelo.</w:t>
      </w:r>
    </w:p>
    <w:p w:rsidR="00473B77" w:rsidP="00473B77" w:rsidRDefault="00473B77" w14:paraId="6250B8A7" w14:textId="0A2F2DA6">
      <w:pPr>
        <w:jc w:val="both"/>
        <w:rPr>
          <w:rFonts w:ascii="Verdana" w:hAnsi="Verdana"/>
          <w:sz w:val="22"/>
          <w:szCs w:val="22"/>
        </w:rPr>
      </w:pPr>
      <w:r w:rsidRPr="00B163B9">
        <w:rPr>
          <w:rFonts w:ascii="Verdana" w:hAnsi="Verdana"/>
          <w:sz w:val="22"/>
          <w:szCs w:val="22"/>
        </w:rPr>
        <w:t xml:space="preserve">En la </w:t>
      </w:r>
      <w:r w:rsidRPr="007C2539" w:rsidR="00A01214">
        <w:rPr>
          <w:rFonts w:ascii="Verdana" w:hAnsi="Verdana"/>
          <w:i/>
          <w:iCs/>
          <w:sz w:val="22"/>
          <w:szCs w:val="22"/>
        </w:rPr>
        <w:t>Ilustración 10</w:t>
      </w:r>
      <w:r w:rsidR="00A01214">
        <w:rPr>
          <w:rFonts w:ascii="Verdana" w:hAnsi="Verdana"/>
          <w:sz w:val="22"/>
          <w:szCs w:val="22"/>
        </w:rPr>
        <w:t>.</w:t>
      </w:r>
      <w:r w:rsidRPr="00B163B9">
        <w:rPr>
          <w:rFonts w:ascii="Verdana" w:hAnsi="Verdana"/>
          <w:sz w:val="22"/>
          <w:szCs w:val="22"/>
        </w:rPr>
        <w:t xml:space="preserve"> siguiente se puede observar la propuesta integrada para este componente.</w:t>
      </w:r>
    </w:p>
    <w:p w:rsidR="0052768E" w:rsidP="00473B77" w:rsidRDefault="0052768E" w14:paraId="4EF6EA88" w14:textId="77777777">
      <w:pPr>
        <w:jc w:val="both"/>
        <w:rPr>
          <w:rFonts w:ascii="Verdana" w:hAnsi="Verdana"/>
          <w:sz w:val="22"/>
          <w:szCs w:val="22"/>
        </w:rPr>
      </w:pPr>
    </w:p>
    <w:p w:rsidRPr="007C2539" w:rsidR="00A01214" w:rsidP="00A01214" w:rsidRDefault="007C2539" w14:paraId="16B061A2" w14:textId="09554F0D">
      <w:pPr>
        <w:pStyle w:val="Descripcin"/>
        <w:jc w:val="center"/>
        <w:rPr>
          <w:rFonts w:ascii="Verdana" w:hAnsi="Verdana"/>
          <w:sz w:val="18"/>
          <w:szCs w:val="18"/>
        </w:rPr>
      </w:pPr>
      <w:bookmarkStart w:name="_Toc234617641" w:id="60"/>
      <w:bookmarkStart w:name="_Toc234617749" w:id="61"/>
      <w:bookmarkStart w:name="_Toc234617947" w:id="62"/>
      <w:bookmarkStart w:name="_Toc234618847" w:id="63"/>
      <w:r w:rsidRPr="007C2539">
        <w:rPr>
          <w:rFonts w:ascii="Verdana" w:hAnsi="Verdana"/>
          <w:sz w:val="18"/>
          <w:szCs w:val="18"/>
        </w:rPr>
        <w:t xml:space="preserve">ILUSTRACIÓN </w:t>
      </w:r>
      <w:r w:rsidRPr="007C2539" w:rsidR="00A01214">
        <w:rPr>
          <w:rFonts w:ascii="Verdana" w:hAnsi="Verdana"/>
          <w:sz w:val="18"/>
          <w:szCs w:val="18"/>
        </w:rPr>
        <w:fldChar w:fldCharType="begin"/>
      </w:r>
      <w:r w:rsidRPr="007C2539" w:rsidR="00A01214">
        <w:rPr>
          <w:rFonts w:ascii="Verdana" w:hAnsi="Verdana"/>
          <w:sz w:val="18"/>
          <w:szCs w:val="18"/>
        </w:rPr>
        <w:instrText xml:space="preserve"> SEQ Ilustración \* ARABIC </w:instrText>
      </w:r>
      <w:r w:rsidRPr="007C2539" w:rsidR="00A01214">
        <w:rPr>
          <w:rFonts w:ascii="Verdana" w:hAnsi="Verdana"/>
          <w:sz w:val="18"/>
          <w:szCs w:val="18"/>
        </w:rPr>
        <w:fldChar w:fldCharType="separate"/>
      </w:r>
      <w:r w:rsidRPr="007C2539">
        <w:rPr>
          <w:rFonts w:ascii="Verdana" w:hAnsi="Verdana"/>
          <w:noProof/>
          <w:sz w:val="18"/>
          <w:szCs w:val="18"/>
        </w:rPr>
        <w:t>10</w:t>
      </w:r>
      <w:r w:rsidRPr="007C2539" w:rsidR="00A01214">
        <w:rPr>
          <w:rFonts w:ascii="Verdana" w:hAnsi="Verdana"/>
          <w:sz w:val="18"/>
          <w:szCs w:val="18"/>
        </w:rPr>
        <w:fldChar w:fldCharType="end"/>
      </w:r>
      <w:r w:rsidRPr="007C2539">
        <w:rPr>
          <w:rFonts w:ascii="Verdana" w:hAnsi="Verdana"/>
          <w:sz w:val="18"/>
          <w:szCs w:val="18"/>
        </w:rPr>
        <w:t>. PROPUESTA INTEGRADA PARA EL COMPONENTE DEL MECANISMO FINANCIERO</w:t>
      </w:r>
      <w:bookmarkEnd w:id="60"/>
      <w:bookmarkEnd w:id="61"/>
      <w:bookmarkEnd w:id="62"/>
      <w:bookmarkEnd w:id="63"/>
    </w:p>
    <w:p w:rsidR="00A01214" w:rsidP="00A01214" w:rsidRDefault="00A01214" w14:paraId="3790287A" w14:textId="6DC6C3AC">
      <w:pPr>
        <w:jc w:val="center"/>
        <w:rPr>
          <w:rFonts w:ascii="Verdana" w:hAnsi="Verdana"/>
          <w:sz w:val="22"/>
          <w:szCs w:val="22"/>
        </w:rPr>
      </w:pPr>
      <w:r w:rsidRPr="00B163B9">
        <w:rPr>
          <w:rFonts w:ascii="Verdana" w:hAnsi="Verdana"/>
          <w:noProof/>
          <w:sz w:val="22"/>
          <w:szCs w:val="22"/>
        </w:rPr>
        <w:drawing>
          <wp:inline distT="0" distB="0" distL="0" distR="0" wp14:anchorId="7C24EC56" wp14:editId="6FFA3B6D">
            <wp:extent cx="4799330" cy="2800350"/>
            <wp:effectExtent l="0" t="0" r="127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8696"/>
                    <a:stretch/>
                  </pic:blipFill>
                  <pic:spPr bwMode="auto">
                    <a:xfrm>
                      <a:off x="0" y="0"/>
                      <a:ext cx="4807491" cy="2805112"/>
                    </a:xfrm>
                    <a:prstGeom prst="rect">
                      <a:avLst/>
                    </a:prstGeom>
                    <a:ln>
                      <a:noFill/>
                    </a:ln>
                    <a:extLst>
                      <a:ext uri="{53640926-AAD7-44D8-BBD7-CCE9431645EC}">
                        <a14:shadowObscured xmlns:a14="http://schemas.microsoft.com/office/drawing/2010/main"/>
                      </a:ext>
                    </a:extLst>
                  </pic:spPr>
                </pic:pic>
              </a:graphicData>
            </a:graphic>
          </wp:inline>
        </w:drawing>
      </w:r>
    </w:p>
    <w:p w:rsidRPr="007C2539" w:rsidR="00A01214" w:rsidP="00A01214" w:rsidRDefault="00A01214" w14:paraId="7D4DA015" w14:textId="3E37CC5D">
      <w:pPr>
        <w:jc w:val="center"/>
        <w:rPr>
          <w:rFonts w:ascii="Verdana" w:hAnsi="Verdana"/>
          <w:i/>
          <w:iCs/>
          <w:sz w:val="18"/>
          <w:szCs w:val="18"/>
        </w:rPr>
      </w:pPr>
      <w:r w:rsidRPr="007C2539">
        <w:rPr>
          <w:rFonts w:ascii="Verdana" w:hAnsi="Verdana"/>
          <w:i/>
          <w:iCs/>
          <w:sz w:val="18"/>
          <w:szCs w:val="18"/>
        </w:rPr>
        <w:t>Fuente: MADS, 2019</w:t>
      </w:r>
    </w:p>
    <w:p w:rsidRPr="00B163B9" w:rsidR="00534799" w:rsidP="00473B77" w:rsidRDefault="00534799" w14:paraId="6E74FD39" w14:textId="77777777">
      <w:pPr>
        <w:jc w:val="both"/>
        <w:rPr>
          <w:rFonts w:ascii="Verdana" w:hAnsi="Verdana"/>
          <w:sz w:val="22"/>
          <w:szCs w:val="22"/>
        </w:rPr>
      </w:pPr>
    </w:p>
    <w:p w:rsidRPr="00B163B9" w:rsidR="00473B77" w:rsidP="00473B77" w:rsidRDefault="00473B77" w14:paraId="1DC98B3C" w14:textId="7DA7F37C">
      <w:pPr>
        <w:jc w:val="center"/>
        <w:rPr>
          <w:rFonts w:ascii="Verdana" w:hAnsi="Verdana"/>
          <w:sz w:val="22"/>
          <w:szCs w:val="22"/>
        </w:rPr>
      </w:pPr>
    </w:p>
    <w:p w:rsidRPr="00B163B9" w:rsidR="00473B77" w:rsidP="00473B77" w:rsidRDefault="00473B77" w14:paraId="1B4FC1BB" w14:textId="165EC4C3">
      <w:pPr>
        <w:jc w:val="center"/>
        <w:rPr>
          <w:rFonts w:ascii="Verdana" w:hAnsi="Verdana"/>
          <w:sz w:val="22"/>
          <w:szCs w:val="22"/>
        </w:rPr>
      </w:pPr>
    </w:p>
    <w:p w:rsidR="00473B77" w:rsidP="00473B77" w:rsidRDefault="00473B77" w14:paraId="4CAF1D05" w14:textId="4551142F">
      <w:pPr>
        <w:jc w:val="both"/>
      </w:pPr>
      <w:r w:rsidRPr="4DB08123" w:rsidR="7658745B">
        <w:rPr>
          <w:rFonts w:ascii="Verdana" w:hAnsi="Verdana"/>
          <w:sz w:val="22"/>
          <w:szCs w:val="22"/>
        </w:rPr>
        <w:t>Con respecto a las propuestas realizadas por componente del modelo de financiación y por municipio, que se puede</w:t>
      </w:r>
      <w:r w:rsidRPr="4DB08123" w:rsidR="7D99AE7D">
        <w:rPr>
          <w:rFonts w:ascii="Verdana" w:hAnsi="Verdana"/>
          <w:sz w:val="22"/>
          <w:szCs w:val="22"/>
        </w:rPr>
        <w:t xml:space="preserve"> </w:t>
      </w:r>
      <w:r w:rsidRPr="4DB08123" w:rsidR="7658745B">
        <w:rPr>
          <w:rFonts w:ascii="Verdana" w:hAnsi="Verdana"/>
          <w:sz w:val="22"/>
          <w:szCs w:val="22"/>
        </w:rPr>
        <w:t xml:space="preserve">apreciar en la </w:t>
      </w:r>
      <w:r w:rsidRPr="4DB08123" w:rsidR="49564A7A">
        <w:rPr>
          <w:rFonts w:ascii="Verdana" w:hAnsi="Verdana"/>
          <w:i w:val="1"/>
          <w:iCs w:val="1"/>
          <w:sz w:val="22"/>
          <w:szCs w:val="22"/>
        </w:rPr>
        <w:t>Ilustración 11 y 12</w:t>
      </w:r>
      <w:r w:rsidRPr="4DB08123" w:rsidR="7658745B">
        <w:rPr>
          <w:rFonts w:ascii="Verdana" w:hAnsi="Verdana"/>
          <w:sz w:val="22"/>
          <w:szCs w:val="22"/>
        </w:rPr>
        <w:t xml:space="preserve">, en casi todos los municipios se consideraron los cuatro componentes, es decir, </w:t>
      </w:r>
      <w:r w:rsidRPr="4DB08123" w:rsidR="7658745B">
        <w:rPr>
          <w:rFonts w:ascii="Verdana" w:hAnsi="Verdana"/>
          <w:sz w:val="22"/>
          <w:szCs w:val="22"/>
        </w:rPr>
        <w:t>que</w:t>
      </w:r>
      <w:r w:rsidRPr="4DB08123" w:rsidR="7658745B">
        <w:rPr>
          <w:rFonts w:ascii="Verdana" w:hAnsi="Verdana"/>
          <w:sz w:val="22"/>
          <w:szCs w:val="22"/>
        </w:rPr>
        <w:t xml:space="preserve"> en</w:t>
      </w:r>
      <w:r w:rsidRPr="4DB08123" w:rsidR="49564A7A">
        <w:rPr>
          <w:rFonts w:ascii="Verdana" w:hAnsi="Verdana"/>
          <w:sz w:val="22"/>
          <w:szCs w:val="22"/>
        </w:rPr>
        <w:t xml:space="preserve"> </w:t>
      </w:r>
      <w:r w:rsidRPr="4DB08123" w:rsidR="7658745B">
        <w:rPr>
          <w:rFonts w:ascii="Verdana" w:hAnsi="Verdana"/>
          <w:sz w:val="22"/>
          <w:szCs w:val="22"/>
        </w:rPr>
        <w:t>términos generales, las comunidades perciben la integralidad que debe tener el modelo de financiación</w:t>
      </w:r>
      <w:r w:rsidRPr="4DB08123" w:rsidR="068883A9">
        <w:rPr>
          <w:rFonts w:ascii="Verdana" w:hAnsi="Verdana"/>
          <w:sz w:val="22"/>
          <w:szCs w:val="22"/>
        </w:rPr>
        <w:t>.</w:t>
      </w:r>
    </w:p>
    <w:p w:rsidR="4DB08123" w:rsidP="4DB08123" w:rsidRDefault="4DB08123" w14:paraId="55D1E587" w14:textId="00BD086B">
      <w:pPr>
        <w:jc w:val="both"/>
        <w:rPr>
          <w:rFonts w:ascii="Verdana" w:hAnsi="Verdana"/>
          <w:sz w:val="22"/>
          <w:szCs w:val="22"/>
        </w:rPr>
      </w:pPr>
    </w:p>
    <w:p w:rsidRPr="007C2539" w:rsidR="00A01214" w:rsidP="00A01214" w:rsidRDefault="007C2539" w14:paraId="1418F89D" w14:textId="1C95AD25">
      <w:pPr>
        <w:pStyle w:val="Descripcin"/>
        <w:jc w:val="center"/>
        <w:rPr>
          <w:rFonts w:ascii="Verdana" w:hAnsi="Verdana"/>
          <w:sz w:val="18"/>
          <w:szCs w:val="18"/>
        </w:rPr>
      </w:pPr>
      <w:bookmarkStart w:name="_Toc234617642" w:id="64"/>
      <w:bookmarkStart w:name="_Toc234617750" w:id="65"/>
      <w:bookmarkStart w:name="_Toc234617948" w:id="66"/>
      <w:bookmarkStart w:name="_Toc234618848" w:id="67"/>
      <w:r w:rsidRPr="007C2539">
        <w:rPr>
          <w:rFonts w:ascii="Verdana" w:hAnsi="Verdana"/>
          <w:sz w:val="18"/>
          <w:szCs w:val="18"/>
        </w:rPr>
        <w:t xml:space="preserve">ILUSTRACIÓN </w:t>
      </w:r>
      <w:r w:rsidRPr="007C2539" w:rsidR="00A01214">
        <w:rPr>
          <w:rFonts w:ascii="Verdana" w:hAnsi="Verdana"/>
          <w:sz w:val="18"/>
          <w:szCs w:val="18"/>
        </w:rPr>
        <w:fldChar w:fldCharType="begin"/>
      </w:r>
      <w:r w:rsidRPr="007C2539" w:rsidR="00A01214">
        <w:rPr>
          <w:rFonts w:ascii="Verdana" w:hAnsi="Verdana"/>
          <w:sz w:val="18"/>
          <w:szCs w:val="18"/>
        </w:rPr>
        <w:instrText xml:space="preserve"> SEQ Ilustración \* ARABIC </w:instrText>
      </w:r>
      <w:r w:rsidRPr="007C2539" w:rsidR="00A01214">
        <w:rPr>
          <w:rFonts w:ascii="Verdana" w:hAnsi="Verdana"/>
          <w:sz w:val="18"/>
          <w:szCs w:val="18"/>
        </w:rPr>
        <w:fldChar w:fldCharType="separate"/>
      </w:r>
      <w:r w:rsidRPr="007C2539">
        <w:rPr>
          <w:rFonts w:ascii="Verdana" w:hAnsi="Verdana"/>
          <w:noProof/>
          <w:sz w:val="18"/>
          <w:szCs w:val="18"/>
        </w:rPr>
        <w:t>11</w:t>
      </w:r>
      <w:r w:rsidRPr="007C2539" w:rsidR="00A01214">
        <w:rPr>
          <w:rFonts w:ascii="Verdana" w:hAnsi="Verdana"/>
          <w:sz w:val="18"/>
          <w:szCs w:val="18"/>
        </w:rPr>
        <w:fldChar w:fldCharType="end"/>
      </w:r>
      <w:r w:rsidRPr="007C2539">
        <w:rPr>
          <w:rFonts w:ascii="Verdana" w:hAnsi="Verdana"/>
          <w:sz w:val="18"/>
          <w:szCs w:val="18"/>
        </w:rPr>
        <w:t>. PROPUESTAS POR COMPONENTE DEL MODELO DE FINANCIACION, NORTE DE SANTANDER</w:t>
      </w:r>
      <w:bookmarkEnd w:id="64"/>
      <w:bookmarkEnd w:id="65"/>
      <w:bookmarkEnd w:id="66"/>
      <w:bookmarkEnd w:id="67"/>
    </w:p>
    <w:p w:rsidR="00534799" w:rsidP="00534799" w:rsidRDefault="00534799" w14:paraId="658FF6CD" w14:textId="1D066984">
      <w:pPr>
        <w:jc w:val="center"/>
        <w:rPr>
          <w:rFonts w:ascii="Verdana" w:hAnsi="Verdana"/>
          <w:sz w:val="22"/>
          <w:szCs w:val="22"/>
        </w:rPr>
      </w:pPr>
      <w:r w:rsidRPr="00B163B9">
        <w:rPr>
          <w:rFonts w:ascii="Verdana" w:hAnsi="Verdana"/>
          <w:noProof/>
          <w:sz w:val="22"/>
          <w:szCs w:val="22"/>
        </w:rPr>
        <w:drawing>
          <wp:inline distT="0" distB="0" distL="0" distR="0" wp14:anchorId="333807A0" wp14:editId="36178721">
            <wp:extent cx="5343525" cy="2539353"/>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9580"/>
                    <a:stretch/>
                  </pic:blipFill>
                  <pic:spPr bwMode="auto">
                    <a:xfrm>
                      <a:off x="0" y="0"/>
                      <a:ext cx="5353403" cy="2544047"/>
                    </a:xfrm>
                    <a:prstGeom prst="rect">
                      <a:avLst/>
                    </a:prstGeom>
                    <a:ln>
                      <a:noFill/>
                    </a:ln>
                    <a:extLst>
                      <a:ext uri="{53640926-AAD7-44D8-BBD7-CCE9431645EC}">
                        <a14:shadowObscured xmlns:a14="http://schemas.microsoft.com/office/drawing/2010/main"/>
                      </a:ext>
                    </a:extLst>
                  </pic:spPr>
                </pic:pic>
              </a:graphicData>
            </a:graphic>
          </wp:inline>
        </w:drawing>
      </w:r>
    </w:p>
    <w:p w:rsidRPr="007C2539" w:rsidR="00A01214" w:rsidP="00534799" w:rsidRDefault="00A01214" w14:paraId="1A0AB590" w14:textId="21C478E7">
      <w:pPr>
        <w:jc w:val="center"/>
        <w:rPr>
          <w:rFonts w:ascii="Verdana" w:hAnsi="Verdana"/>
          <w:i/>
          <w:iCs/>
          <w:sz w:val="18"/>
          <w:szCs w:val="18"/>
        </w:rPr>
      </w:pPr>
      <w:r w:rsidRPr="007C2539">
        <w:rPr>
          <w:rFonts w:ascii="Verdana" w:hAnsi="Verdana"/>
          <w:i/>
          <w:iCs/>
          <w:sz w:val="18"/>
          <w:szCs w:val="18"/>
        </w:rPr>
        <w:t>Fuente: MADS, 2019</w:t>
      </w:r>
    </w:p>
    <w:p w:rsidRPr="007C2539" w:rsidR="00A01214" w:rsidP="00A01214" w:rsidRDefault="007C2539" w14:paraId="095EEBF2" w14:textId="7F60D20C">
      <w:pPr>
        <w:pStyle w:val="Descripcin"/>
        <w:jc w:val="center"/>
        <w:rPr>
          <w:rFonts w:ascii="Verdana" w:hAnsi="Verdana"/>
          <w:i/>
          <w:iCs/>
          <w:sz w:val="18"/>
          <w:szCs w:val="18"/>
        </w:rPr>
      </w:pPr>
      <w:bookmarkStart w:name="_Toc234617643" w:id="68"/>
      <w:bookmarkStart w:name="_Toc234617751" w:id="69"/>
      <w:bookmarkStart w:name="_Toc234617949" w:id="70"/>
      <w:bookmarkStart w:name="_Toc234618849" w:id="71"/>
      <w:r w:rsidRPr="007C2539">
        <w:rPr>
          <w:rFonts w:ascii="Verdana" w:hAnsi="Verdana"/>
          <w:sz w:val="18"/>
          <w:szCs w:val="18"/>
        </w:rPr>
        <w:t xml:space="preserve">ILUSTRACIÓN </w:t>
      </w:r>
      <w:r w:rsidRPr="007C2539" w:rsidR="00A01214">
        <w:rPr>
          <w:rFonts w:ascii="Verdana" w:hAnsi="Verdana"/>
          <w:sz w:val="18"/>
          <w:szCs w:val="18"/>
        </w:rPr>
        <w:fldChar w:fldCharType="begin"/>
      </w:r>
      <w:r w:rsidRPr="007C2539" w:rsidR="00A01214">
        <w:rPr>
          <w:rFonts w:ascii="Verdana" w:hAnsi="Verdana"/>
          <w:sz w:val="18"/>
          <w:szCs w:val="18"/>
        </w:rPr>
        <w:instrText xml:space="preserve"> SEQ Ilustración \* ARABIC </w:instrText>
      </w:r>
      <w:r w:rsidRPr="007C2539" w:rsidR="00A01214">
        <w:rPr>
          <w:rFonts w:ascii="Verdana" w:hAnsi="Verdana"/>
          <w:sz w:val="18"/>
          <w:szCs w:val="18"/>
        </w:rPr>
        <w:fldChar w:fldCharType="separate"/>
      </w:r>
      <w:r w:rsidRPr="007C2539">
        <w:rPr>
          <w:rFonts w:ascii="Verdana" w:hAnsi="Verdana"/>
          <w:noProof/>
          <w:sz w:val="18"/>
          <w:szCs w:val="18"/>
        </w:rPr>
        <w:t>12</w:t>
      </w:r>
      <w:r w:rsidRPr="007C2539" w:rsidR="00A01214">
        <w:rPr>
          <w:rFonts w:ascii="Verdana" w:hAnsi="Verdana"/>
          <w:sz w:val="18"/>
          <w:szCs w:val="18"/>
        </w:rPr>
        <w:fldChar w:fldCharType="end"/>
      </w:r>
      <w:r w:rsidRPr="007C2539">
        <w:rPr>
          <w:rFonts w:ascii="Verdana" w:hAnsi="Verdana"/>
          <w:sz w:val="18"/>
          <w:szCs w:val="18"/>
        </w:rPr>
        <w:t>. PROPUESTAS POR COMPONENTE, SANTANDER</w:t>
      </w:r>
      <w:bookmarkEnd w:id="68"/>
      <w:bookmarkEnd w:id="69"/>
      <w:bookmarkEnd w:id="70"/>
      <w:bookmarkEnd w:id="71"/>
    </w:p>
    <w:p w:rsidRPr="00B163B9" w:rsidR="00534799" w:rsidP="00534799" w:rsidRDefault="00534799" w14:paraId="30A618A3" w14:textId="5C264121">
      <w:pPr>
        <w:rPr>
          <w:rFonts w:ascii="Verdana" w:hAnsi="Verdana"/>
          <w:sz w:val="22"/>
          <w:szCs w:val="22"/>
        </w:rPr>
      </w:pPr>
      <w:r w:rsidRPr="00B163B9">
        <w:rPr>
          <w:rFonts w:ascii="Verdana" w:hAnsi="Verdana"/>
          <w:noProof/>
          <w:sz w:val="22"/>
          <w:szCs w:val="22"/>
        </w:rPr>
        <w:drawing>
          <wp:inline distT="0" distB="0" distL="0" distR="0" wp14:anchorId="429D6515" wp14:editId="0D7131A9">
            <wp:extent cx="5612130" cy="2628900"/>
            <wp:effectExtent l="0" t="0" r="762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b="8670"/>
                    <a:stretch/>
                  </pic:blipFill>
                  <pic:spPr bwMode="auto">
                    <a:xfrm>
                      <a:off x="0" y="0"/>
                      <a:ext cx="5612130" cy="2628900"/>
                    </a:xfrm>
                    <a:prstGeom prst="rect">
                      <a:avLst/>
                    </a:prstGeom>
                    <a:ln>
                      <a:noFill/>
                    </a:ln>
                    <a:extLst>
                      <a:ext uri="{53640926-AAD7-44D8-BBD7-CCE9431645EC}">
                        <a14:shadowObscured xmlns:a14="http://schemas.microsoft.com/office/drawing/2010/main"/>
                      </a:ext>
                    </a:extLst>
                  </pic:spPr>
                </pic:pic>
              </a:graphicData>
            </a:graphic>
          </wp:inline>
        </w:drawing>
      </w:r>
    </w:p>
    <w:p w:rsidRPr="007C2539" w:rsidR="003C081A" w:rsidP="00A01214" w:rsidRDefault="00A01214" w14:paraId="19360596" w14:textId="286A17C8">
      <w:pPr>
        <w:jc w:val="center"/>
        <w:rPr>
          <w:rFonts w:ascii="Verdana" w:hAnsi="Verdana"/>
          <w:i/>
          <w:iCs/>
          <w:sz w:val="18"/>
          <w:szCs w:val="18"/>
        </w:rPr>
      </w:pPr>
      <w:r w:rsidRPr="007C2539">
        <w:rPr>
          <w:rFonts w:ascii="Verdana" w:hAnsi="Verdana"/>
          <w:i/>
          <w:iCs/>
          <w:sz w:val="18"/>
          <w:szCs w:val="18"/>
        </w:rPr>
        <w:lastRenderedPageBreak/>
        <w:t>Fuente: MADS, 2019</w:t>
      </w:r>
    </w:p>
    <w:p w:rsidR="00534799" w:rsidP="00C75E01" w:rsidRDefault="00534799" w14:paraId="0E4F8DAD" w14:textId="18B6DCC7">
      <w:pPr>
        <w:pStyle w:val="Estilo4"/>
      </w:pPr>
      <w:bookmarkStart w:name="_Toc234617868" w:id="72"/>
      <w:bookmarkStart w:name="_Toc234618995" w:id="73"/>
      <w:r w:rsidRPr="00A01214">
        <w:t>Estructura del Modelo de Financiación</w:t>
      </w:r>
      <w:r w:rsidRPr="00A01214" w:rsidR="00FF4C7B">
        <w:t xml:space="preserve"> </w:t>
      </w:r>
      <w:r w:rsidRPr="00A01214" w:rsidR="003C081A">
        <w:t xml:space="preserve">para la </w:t>
      </w:r>
      <w:r w:rsidRPr="00A01214" w:rsidR="00FF4C7B">
        <w:t xml:space="preserve">fase de </w:t>
      </w:r>
      <w:r w:rsidRPr="00A01214" w:rsidR="003C081A">
        <w:t>Concertación</w:t>
      </w:r>
      <w:bookmarkEnd w:id="72"/>
      <w:bookmarkEnd w:id="73"/>
    </w:p>
    <w:p w:rsidR="00C75E01" w:rsidP="00C75E01" w:rsidRDefault="00C75E01" w14:paraId="3A407BF6" w14:textId="77777777">
      <w:pPr>
        <w:pStyle w:val="Estilo4"/>
        <w:numPr>
          <w:ilvl w:val="0"/>
          <w:numId w:val="0"/>
        </w:numPr>
        <w:ind w:left="1440"/>
      </w:pPr>
    </w:p>
    <w:p w:rsidRPr="007C2539" w:rsidR="003C081A" w:rsidP="00A01214" w:rsidRDefault="007C2539" w14:paraId="450C2252" w14:textId="25743755">
      <w:pPr>
        <w:pStyle w:val="Descripcin"/>
        <w:jc w:val="center"/>
        <w:rPr>
          <w:rFonts w:ascii="Verdana" w:hAnsi="Verdana"/>
          <w:sz w:val="18"/>
          <w:szCs w:val="18"/>
        </w:rPr>
      </w:pPr>
      <w:bookmarkStart w:name="_Toc234617644" w:id="74"/>
      <w:bookmarkStart w:name="_Toc234617752" w:id="75"/>
      <w:bookmarkStart w:name="_Toc234617950" w:id="76"/>
      <w:bookmarkStart w:name="_Toc234618850" w:id="77"/>
      <w:r w:rsidRPr="007C2539">
        <w:rPr>
          <w:rFonts w:ascii="Verdana" w:hAnsi="Verdana"/>
          <w:sz w:val="18"/>
          <w:szCs w:val="18"/>
        </w:rPr>
        <w:t xml:space="preserve">ILUSTRACIÓN </w:t>
      </w:r>
      <w:r w:rsidRPr="007C2539" w:rsidR="00A01214">
        <w:rPr>
          <w:rFonts w:ascii="Verdana" w:hAnsi="Verdana"/>
          <w:sz w:val="18"/>
          <w:szCs w:val="18"/>
        </w:rPr>
        <w:fldChar w:fldCharType="begin"/>
      </w:r>
      <w:r w:rsidRPr="007C2539" w:rsidR="00A01214">
        <w:rPr>
          <w:rFonts w:ascii="Verdana" w:hAnsi="Verdana"/>
          <w:sz w:val="18"/>
          <w:szCs w:val="18"/>
        </w:rPr>
        <w:instrText xml:space="preserve"> SEQ Ilustración \* ARABIC </w:instrText>
      </w:r>
      <w:r w:rsidRPr="007C2539" w:rsidR="00A01214">
        <w:rPr>
          <w:rFonts w:ascii="Verdana" w:hAnsi="Verdana"/>
          <w:sz w:val="18"/>
          <w:szCs w:val="18"/>
        </w:rPr>
        <w:fldChar w:fldCharType="separate"/>
      </w:r>
      <w:r w:rsidRPr="007C2539">
        <w:rPr>
          <w:rFonts w:ascii="Verdana" w:hAnsi="Verdana"/>
          <w:noProof/>
          <w:sz w:val="18"/>
          <w:szCs w:val="18"/>
        </w:rPr>
        <w:t>13</w:t>
      </w:r>
      <w:r w:rsidRPr="007C2539" w:rsidR="00A01214">
        <w:rPr>
          <w:rFonts w:ascii="Verdana" w:hAnsi="Verdana"/>
          <w:sz w:val="18"/>
          <w:szCs w:val="18"/>
        </w:rPr>
        <w:fldChar w:fldCharType="end"/>
      </w:r>
      <w:r w:rsidRPr="007C2539">
        <w:rPr>
          <w:rFonts w:ascii="Verdana" w:hAnsi="Verdana"/>
          <w:sz w:val="18"/>
          <w:szCs w:val="18"/>
        </w:rPr>
        <w:t>. MODELO FINANCIERO, FASE DE CONCERTACIÓN</w:t>
      </w:r>
      <w:bookmarkEnd w:id="74"/>
      <w:bookmarkEnd w:id="75"/>
      <w:bookmarkEnd w:id="76"/>
      <w:bookmarkEnd w:id="77"/>
    </w:p>
    <w:p w:rsidR="003C081A" w:rsidP="003C081A" w:rsidRDefault="00CE6005" w14:paraId="279EFA83" w14:textId="6EAE5DBE">
      <w:pPr>
        <w:jc w:val="both"/>
        <w:rPr>
          <w:rFonts w:ascii="Verdana" w:hAnsi="Verdana"/>
          <w:b/>
          <w:bCs/>
          <w:sz w:val="22"/>
          <w:szCs w:val="22"/>
        </w:rPr>
      </w:pPr>
      <w:r>
        <w:rPr>
          <w:rFonts w:ascii="Verdana" w:hAnsi="Verdana"/>
          <w:b/>
          <w:bCs/>
          <w:noProof/>
          <w:sz w:val="22"/>
          <w:szCs w:val="22"/>
        </w:rPr>
        <w:drawing>
          <wp:inline distT="0" distB="0" distL="0" distR="0" wp14:anchorId="1334CF27" wp14:editId="09F10EDE">
            <wp:extent cx="5961664" cy="3353435"/>
            <wp:effectExtent l="0" t="0" r="127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75182" cy="3361039"/>
                    </a:xfrm>
                    <a:prstGeom prst="rect">
                      <a:avLst/>
                    </a:prstGeom>
                    <a:noFill/>
                  </pic:spPr>
                </pic:pic>
              </a:graphicData>
            </a:graphic>
          </wp:inline>
        </w:drawing>
      </w:r>
    </w:p>
    <w:p w:rsidR="001F7CED" w:rsidP="4DB08123" w:rsidRDefault="001F7CED" w14:paraId="74475B89" w14:textId="31F0FF0E">
      <w:pPr>
        <w:jc w:val="center"/>
        <w:rPr>
          <w:rFonts w:ascii="Verdana" w:hAnsi="Verdana"/>
          <w:i w:val="1"/>
          <w:iCs w:val="1"/>
          <w:sz w:val="18"/>
          <w:szCs w:val="18"/>
        </w:rPr>
      </w:pPr>
      <w:r w:rsidRPr="4DB08123" w:rsidR="49564A7A">
        <w:rPr>
          <w:rFonts w:ascii="Verdana" w:hAnsi="Verdana"/>
          <w:i w:val="1"/>
          <w:iCs w:val="1"/>
          <w:sz w:val="18"/>
          <w:szCs w:val="18"/>
        </w:rPr>
        <w:t>Fuente: MADS, 2019</w:t>
      </w:r>
    </w:p>
    <w:p w:rsidRPr="00AE6D03" w:rsidR="003C081A" w:rsidP="003C081A" w:rsidRDefault="0006306D" w14:paraId="0C5EEE7B" w14:textId="35102511">
      <w:pPr>
        <w:jc w:val="both"/>
        <w:rPr>
          <w:rFonts w:ascii="Verdana" w:hAnsi="Verdana"/>
          <w:sz w:val="22"/>
          <w:szCs w:val="22"/>
        </w:rPr>
      </w:pPr>
      <w:r>
        <w:rPr>
          <w:rFonts w:ascii="Verdana" w:hAnsi="Verdana"/>
          <w:sz w:val="22"/>
          <w:szCs w:val="22"/>
        </w:rPr>
        <w:t>El</w:t>
      </w:r>
      <w:r w:rsidRPr="00AE6D03" w:rsidR="003C081A">
        <w:rPr>
          <w:rFonts w:ascii="Verdana" w:hAnsi="Verdana"/>
          <w:sz w:val="22"/>
          <w:szCs w:val="22"/>
        </w:rPr>
        <w:t xml:space="preserve"> modelo de financiación es el mecanismo financiero que debe balancear los tres componentes precedentes; por el lado de oferta, es necesario articular actores y fuentes a través de acuerdos que establezcan compromisos concretos de recursos a largo plazo; para el caso de la demanda, se deben establecer prioridades temáticas y espaciales; así como tiempos y plazos , de manera que se garantice un alto impacto en términos ambientales y sociales; y finalmente, en cuanto a los incentivos , deben integrar de manera eficiente, ágil y flexible las necesidades financieras (demanda) y las fuentes financieras efectivamente comprometidas (oferta).</w:t>
      </w:r>
    </w:p>
    <w:p w:rsidRPr="00AE6D03" w:rsidR="003C081A" w:rsidP="003C081A" w:rsidRDefault="003C081A" w14:paraId="30EF9670" w14:textId="77777777">
      <w:pPr>
        <w:jc w:val="both"/>
        <w:rPr>
          <w:rFonts w:ascii="Verdana" w:hAnsi="Verdana"/>
          <w:sz w:val="22"/>
          <w:szCs w:val="22"/>
        </w:rPr>
      </w:pPr>
      <w:r w:rsidRPr="00AE6D03">
        <w:rPr>
          <w:rFonts w:ascii="Verdana" w:hAnsi="Verdana"/>
          <w:sz w:val="22"/>
          <w:szCs w:val="22"/>
        </w:rPr>
        <w:t xml:space="preserve">El </w:t>
      </w:r>
      <w:r w:rsidRPr="0006306D">
        <w:rPr>
          <w:rFonts w:ascii="Verdana" w:hAnsi="Verdana"/>
          <w:b/>
          <w:bCs/>
          <w:sz w:val="22"/>
          <w:szCs w:val="22"/>
        </w:rPr>
        <w:t>mecanismo financiero</w:t>
      </w:r>
      <w:r w:rsidRPr="00AE6D03">
        <w:rPr>
          <w:rFonts w:ascii="Verdana" w:hAnsi="Verdana"/>
          <w:sz w:val="22"/>
          <w:szCs w:val="22"/>
        </w:rPr>
        <w:t xml:space="preserve"> puede contemplar diferentes modalidades de articulación de recursos con participación pública y privada, como los fondos de agua, acuerdos de conservación, alianzas para el cuidado de las cuencas, el Fondo para la vida y la biodiversidad, entre otros; que faciliten la </w:t>
      </w:r>
      <w:r w:rsidRPr="00AE6D03">
        <w:rPr>
          <w:rFonts w:ascii="Verdana" w:hAnsi="Verdana"/>
          <w:sz w:val="22"/>
          <w:szCs w:val="22"/>
        </w:rPr>
        <w:lastRenderedPageBreak/>
        <w:t xml:space="preserve">correspondencia entre la oferta y demanda a través de la aplicación de incentivos y otros instrumentos, articulando los diferentes sectores para contribuir con la conservación y reconversión de áreas priorizadas. </w:t>
      </w:r>
    </w:p>
    <w:p w:rsidRPr="00AE6D03" w:rsidR="003C081A" w:rsidP="003C081A" w:rsidRDefault="003C081A" w14:paraId="726B118A" w14:textId="77777777">
      <w:pPr>
        <w:jc w:val="both"/>
        <w:rPr>
          <w:rFonts w:ascii="Verdana" w:hAnsi="Verdana"/>
          <w:sz w:val="22"/>
          <w:szCs w:val="22"/>
        </w:rPr>
      </w:pPr>
      <w:r w:rsidRPr="00AE6D03">
        <w:rPr>
          <w:rFonts w:ascii="Verdana" w:hAnsi="Verdana"/>
          <w:sz w:val="22"/>
          <w:szCs w:val="22"/>
        </w:rPr>
        <w:t>El mecanismo financiero deberá ser flexible, transparente y facilitar la participación de las comunidades generando alto impacto social y ambiental.</w:t>
      </w:r>
    </w:p>
    <w:p w:rsidRPr="00AE6D03" w:rsidR="003C081A" w:rsidP="003C081A" w:rsidRDefault="003C081A" w14:paraId="108CC695" w14:textId="6A226F61">
      <w:pPr>
        <w:jc w:val="both"/>
        <w:rPr>
          <w:rFonts w:ascii="Verdana" w:hAnsi="Verdana"/>
          <w:sz w:val="22"/>
          <w:szCs w:val="22"/>
        </w:rPr>
      </w:pPr>
      <w:r w:rsidRPr="00AE6D03">
        <w:rPr>
          <w:rFonts w:ascii="Verdana" w:hAnsi="Verdana"/>
          <w:sz w:val="22"/>
          <w:szCs w:val="22"/>
        </w:rPr>
        <w:t>A la fase de concertación se llevó la siguiente propuesta, que permitió a las comunidades escoger entre tres opciones</w:t>
      </w:r>
      <w:r w:rsidR="0006306D">
        <w:rPr>
          <w:rFonts w:ascii="Verdana" w:hAnsi="Verdana"/>
          <w:sz w:val="22"/>
          <w:szCs w:val="22"/>
        </w:rPr>
        <w:t xml:space="preserve"> (</w:t>
      </w:r>
      <w:r w:rsidRPr="007C2539" w:rsidR="0006306D">
        <w:rPr>
          <w:rFonts w:ascii="Verdana" w:hAnsi="Verdana"/>
          <w:i/>
          <w:iCs/>
          <w:sz w:val="22"/>
          <w:szCs w:val="22"/>
        </w:rPr>
        <w:t>Ver Ilustración 14</w:t>
      </w:r>
      <w:r w:rsidR="0006306D">
        <w:rPr>
          <w:rFonts w:ascii="Verdana" w:hAnsi="Verdana"/>
          <w:sz w:val="22"/>
          <w:szCs w:val="22"/>
        </w:rPr>
        <w:t xml:space="preserve">) </w:t>
      </w:r>
    </w:p>
    <w:p w:rsidR="003C081A" w:rsidP="003C081A" w:rsidRDefault="003C081A" w14:paraId="03AB07E4" w14:textId="093457D7">
      <w:pPr>
        <w:jc w:val="both"/>
        <w:rPr>
          <w:rFonts w:ascii="Verdana" w:hAnsi="Verdana"/>
          <w:sz w:val="22"/>
          <w:szCs w:val="22"/>
        </w:rPr>
      </w:pPr>
    </w:p>
    <w:p w:rsidRPr="007C2539" w:rsidR="0006306D" w:rsidP="0006306D" w:rsidRDefault="007C2539" w14:paraId="381A91E5" w14:textId="0194B33B">
      <w:pPr>
        <w:pStyle w:val="Descripcin"/>
        <w:jc w:val="center"/>
        <w:rPr>
          <w:rFonts w:ascii="Verdana" w:hAnsi="Verdana"/>
          <w:sz w:val="18"/>
          <w:szCs w:val="18"/>
        </w:rPr>
      </w:pPr>
      <w:bookmarkStart w:name="_Toc234617645" w:id="78"/>
      <w:bookmarkStart w:name="_Toc234617753" w:id="79"/>
      <w:bookmarkStart w:name="_Toc234617951" w:id="80"/>
      <w:bookmarkStart w:name="_Toc234618851" w:id="81"/>
      <w:r w:rsidRPr="007C2539">
        <w:rPr>
          <w:rFonts w:ascii="Verdana" w:hAnsi="Verdana"/>
          <w:sz w:val="18"/>
          <w:szCs w:val="18"/>
        </w:rPr>
        <w:t xml:space="preserve">ILUSTRACIÓN </w:t>
      </w:r>
      <w:r w:rsidRPr="007C2539" w:rsidR="0006306D">
        <w:rPr>
          <w:rFonts w:ascii="Verdana" w:hAnsi="Verdana"/>
          <w:sz w:val="18"/>
          <w:szCs w:val="18"/>
        </w:rPr>
        <w:fldChar w:fldCharType="begin"/>
      </w:r>
      <w:r w:rsidRPr="007C2539" w:rsidR="0006306D">
        <w:rPr>
          <w:rFonts w:ascii="Verdana" w:hAnsi="Verdana"/>
          <w:sz w:val="18"/>
          <w:szCs w:val="18"/>
        </w:rPr>
        <w:instrText xml:space="preserve"> SEQ Ilustración \* ARABIC </w:instrText>
      </w:r>
      <w:r w:rsidRPr="007C2539" w:rsidR="0006306D">
        <w:rPr>
          <w:rFonts w:ascii="Verdana" w:hAnsi="Verdana"/>
          <w:sz w:val="18"/>
          <w:szCs w:val="18"/>
        </w:rPr>
        <w:fldChar w:fldCharType="separate"/>
      </w:r>
      <w:r w:rsidRPr="007C2539">
        <w:rPr>
          <w:rFonts w:ascii="Verdana" w:hAnsi="Verdana"/>
          <w:noProof/>
          <w:sz w:val="18"/>
          <w:szCs w:val="18"/>
        </w:rPr>
        <w:t>14</w:t>
      </w:r>
      <w:r w:rsidRPr="007C2539" w:rsidR="0006306D">
        <w:rPr>
          <w:rFonts w:ascii="Verdana" w:hAnsi="Verdana"/>
          <w:sz w:val="18"/>
          <w:szCs w:val="18"/>
        </w:rPr>
        <w:fldChar w:fldCharType="end"/>
      </w:r>
      <w:r w:rsidRPr="007C2539">
        <w:rPr>
          <w:rFonts w:ascii="Verdana" w:hAnsi="Verdana"/>
          <w:sz w:val="18"/>
          <w:szCs w:val="18"/>
        </w:rPr>
        <w:t>. MECANISMO FINANCIERO, FASE DE CONCERTACIÓN</w:t>
      </w:r>
      <w:bookmarkEnd w:id="78"/>
      <w:bookmarkEnd w:id="79"/>
      <w:bookmarkEnd w:id="80"/>
      <w:bookmarkEnd w:id="81"/>
    </w:p>
    <w:p w:rsidRPr="00AE6D03" w:rsidR="003C081A" w:rsidP="003C081A" w:rsidRDefault="003C081A" w14:paraId="535A6D6D" w14:textId="77777777">
      <w:pPr>
        <w:jc w:val="both"/>
        <w:rPr>
          <w:rFonts w:ascii="Verdana" w:hAnsi="Verdana"/>
          <w:sz w:val="22"/>
          <w:szCs w:val="22"/>
        </w:rPr>
      </w:pPr>
      <w:r w:rsidRPr="00AE6D03">
        <w:rPr>
          <w:rFonts w:ascii="Verdana" w:hAnsi="Verdana"/>
          <w:sz w:val="22"/>
          <w:szCs w:val="22"/>
        </w:rPr>
        <w:t xml:space="preserve"> </w:t>
      </w:r>
      <w:r>
        <w:rPr>
          <w:rFonts w:cs="Arial"/>
          <w:noProof/>
          <w:sz w:val="24"/>
          <w:szCs w:val="24"/>
        </w:rPr>
        <w:drawing>
          <wp:inline distT="0" distB="0" distL="0" distR="0" wp14:anchorId="72F8292E" wp14:editId="3550BC34">
            <wp:extent cx="5321864" cy="2889671"/>
            <wp:effectExtent l="0" t="0" r="0" b="6350"/>
            <wp:docPr id="204826700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48300" cy="2904025"/>
                    </a:xfrm>
                    <a:prstGeom prst="rect">
                      <a:avLst/>
                    </a:prstGeom>
                    <a:noFill/>
                  </pic:spPr>
                </pic:pic>
              </a:graphicData>
            </a:graphic>
          </wp:inline>
        </w:drawing>
      </w:r>
    </w:p>
    <w:p w:rsidRPr="007C2539" w:rsidR="003C081A" w:rsidP="0006306D" w:rsidRDefault="0006306D" w14:paraId="4F24BFE5" w14:textId="7E91C2A2">
      <w:pPr>
        <w:jc w:val="center"/>
        <w:rPr>
          <w:rFonts w:ascii="Verdana" w:hAnsi="Verdana"/>
          <w:i/>
          <w:iCs/>
          <w:sz w:val="18"/>
          <w:szCs w:val="18"/>
        </w:rPr>
      </w:pPr>
      <w:r w:rsidRPr="007C2539">
        <w:rPr>
          <w:rFonts w:ascii="Verdana" w:hAnsi="Verdana"/>
          <w:i/>
          <w:iCs/>
          <w:sz w:val="18"/>
          <w:szCs w:val="18"/>
        </w:rPr>
        <w:t>Fuente: MADS, 2019</w:t>
      </w:r>
    </w:p>
    <w:p w:rsidRPr="00AE6D03" w:rsidR="003C081A" w:rsidP="003C081A" w:rsidRDefault="003C081A" w14:paraId="4FE2911A" w14:textId="77777777">
      <w:pPr>
        <w:jc w:val="both"/>
        <w:rPr>
          <w:rFonts w:ascii="Verdana" w:hAnsi="Verdana"/>
          <w:sz w:val="22"/>
          <w:szCs w:val="22"/>
        </w:rPr>
      </w:pPr>
    </w:p>
    <w:p w:rsidRPr="00AE6D03" w:rsidR="003C081A" w:rsidP="003C081A" w:rsidRDefault="003C081A" w14:paraId="1AD0EEAD" w14:textId="77777777">
      <w:pPr>
        <w:jc w:val="both"/>
        <w:rPr>
          <w:rFonts w:ascii="Verdana" w:hAnsi="Verdana"/>
          <w:sz w:val="22"/>
          <w:szCs w:val="22"/>
        </w:rPr>
      </w:pPr>
      <w:r w:rsidRPr="00AE6D03">
        <w:rPr>
          <w:rFonts w:ascii="Verdana" w:hAnsi="Verdana"/>
          <w:sz w:val="22"/>
          <w:szCs w:val="22"/>
        </w:rPr>
        <w:t xml:space="preserve">El modelo de financiación propuesto requiere articulación de actores públicos y privados en cada uno de sus componentes: oferta, demanda, incentivos; esta función debe ser asumida en principio por el mecanismo financiero propuesto, en el corto plazo, los fondos de agua departamentales. </w:t>
      </w:r>
    </w:p>
    <w:p w:rsidRPr="00AE6D03" w:rsidR="003C081A" w:rsidP="003C081A" w:rsidRDefault="003C081A" w14:paraId="5C611A12" w14:textId="77777777">
      <w:pPr>
        <w:jc w:val="both"/>
        <w:rPr>
          <w:rFonts w:ascii="Verdana" w:hAnsi="Verdana"/>
          <w:sz w:val="22"/>
          <w:szCs w:val="22"/>
        </w:rPr>
      </w:pPr>
      <w:r w:rsidRPr="00AE6D03">
        <w:rPr>
          <w:rFonts w:ascii="Verdana" w:hAnsi="Verdana"/>
          <w:sz w:val="22"/>
          <w:szCs w:val="22"/>
        </w:rPr>
        <w:t>Dentro de los actores públicos que deben hacer parte del mecanismo financiero son fundamentales las Corporaciones Regionales y los alcaldes de las ciudades capitales de los dos departamentos, así como los dos gobernadores.</w:t>
      </w:r>
    </w:p>
    <w:p w:rsidRPr="00AE6D03" w:rsidR="003C081A" w:rsidP="003C081A" w:rsidRDefault="003C081A" w14:paraId="5C380993" w14:textId="77777777">
      <w:pPr>
        <w:jc w:val="both"/>
        <w:rPr>
          <w:rFonts w:ascii="Verdana" w:hAnsi="Verdana"/>
          <w:sz w:val="22"/>
          <w:szCs w:val="22"/>
        </w:rPr>
      </w:pPr>
      <w:r w:rsidRPr="00AE6D03">
        <w:rPr>
          <w:rFonts w:ascii="Verdana" w:hAnsi="Verdana"/>
          <w:sz w:val="22"/>
          <w:szCs w:val="22"/>
        </w:rPr>
        <w:lastRenderedPageBreak/>
        <w:t>Estos mecanismos financieros hacen parte de la estructura de la instancia de coordinación y articulación desarrollada en el ineludible 5 y deben seguir los lineamientos generales y las directrices de política de esa instancia.</w:t>
      </w:r>
    </w:p>
    <w:p w:rsidRPr="00AE6D03" w:rsidR="003C081A" w:rsidP="003C081A" w:rsidRDefault="003C081A" w14:paraId="22DCFDE9" w14:textId="77777777">
      <w:pPr>
        <w:jc w:val="both"/>
        <w:rPr>
          <w:rFonts w:ascii="Verdana" w:hAnsi="Verdana"/>
          <w:sz w:val="22"/>
          <w:szCs w:val="22"/>
        </w:rPr>
      </w:pPr>
      <w:r w:rsidRPr="00AE6D03">
        <w:rPr>
          <w:rFonts w:ascii="Verdana" w:hAnsi="Verdana"/>
          <w:sz w:val="22"/>
          <w:szCs w:val="22"/>
        </w:rPr>
        <w:t>La estructura organizacional propuesta para los mecanismos financieros tiene dos componentes básicos: una Junta Directiva y una Secretaría Técnica.</w:t>
      </w:r>
    </w:p>
    <w:p w:rsidRPr="00AE6D03" w:rsidR="003C081A" w:rsidP="003C081A" w:rsidRDefault="003C081A" w14:paraId="5AA10DF1" w14:textId="77777777">
      <w:pPr>
        <w:jc w:val="both"/>
        <w:rPr>
          <w:rFonts w:ascii="Verdana" w:hAnsi="Verdana"/>
          <w:sz w:val="22"/>
          <w:szCs w:val="22"/>
        </w:rPr>
      </w:pPr>
      <w:r w:rsidRPr="00AE6D03">
        <w:rPr>
          <w:rFonts w:ascii="Verdana" w:hAnsi="Verdana"/>
          <w:sz w:val="22"/>
          <w:szCs w:val="22"/>
        </w:rPr>
        <w:t xml:space="preserve">La Junta Directiva debe tomar las decisiones asociadas a los criterios de asignación de recursos y la priorización espacial y temática de las inversiones de acuerdo con un plan presupuestal prestablecido que debe responder a un plan de acción a largo plazo en el páramo, que debe ser elaborado por la instancia de articulación y coordinación; lo que implica definir las políticas generales de actuación del Fondo para cada uno de los componentes del modelo. </w:t>
      </w:r>
    </w:p>
    <w:p w:rsidRPr="00AE6D03" w:rsidR="003C081A" w:rsidP="003C081A" w:rsidRDefault="003C081A" w14:paraId="073C08B9" w14:textId="77777777">
      <w:pPr>
        <w:jc w:val="both"/>
        <w:rPr>
          <w:rFonts w:ascii="Verdana" w:hAnsi="Verdana"/>
          <w:sz w:val="22"/>
          <w:szCs w:val="22"/>
        </w:rPr>
      </w:pPr>
      <w:r w:rsidRPr="00AE6D03">
        <w:rPr>
          <w:rFonts w:ascii="Verdana" w:hAnsi="Verdana"/>
          <w:sz w:val="22"/>
          <w:szCs w:val="22"/>
        </w:rPr>
        <w:t xml:space="preserve">Para el caso de la </w:t>
      </w:r>
      <w:r w:rsidRPr="0006306D">
        <w:rPr>
          <w:rFonts w:ascii="Verdana" w:hAnsi="Verdana"/>
          <w:b/>
          <w:bCs/>
          <w:sz w:val="22"/>
          <w:szCs w:val="22"/>
        </w:rPr>
        <w:t>oferta</w:t>
      </w:r>
      <w:r w:rsidRPr="00AE6D03">
        <w:rPr>
          <w:rFonts w:ascii="Verdana" w:hAnsi="Verdana"/>
          <w:sz w:val="22"/>
          <w:szCs w:val="22"/>
        </w:rPr>
        <w:t>, lo más importante es propiciar la suscripción de acuerdos para que los actores públicos y privados efectivamente comprometan recursos financieros en el largo plazo, de la misma manera debe liderar la incorporación de nuevos actores y aumentar los montos de recursos captados.</w:t>
      </w:r>
    </w:p>
    <w:p w:rsidRPr="00AE6D03" w:rsidR="003C081A" w:rsidP="003C081A" w:rsidRDefault="003C081A" w14:paraId="6F61A0D5" w14:textId="77777777">
      <w:pPr>
        <w:jc w:val="both"/>
        <w:rPr>
          <w:rFonts w:ascii="Verdana" w:hAnsi="Verdana"/>
          <w:sz w:val="22"/>
          <w:szCs w:val="22"/>
        </w:rPr>
      </w:pPr>
      <w:r w:rsidRPr="00AE6D03">
        <w:rPr>
          <w:rFonts w:ascii="Verdana" w:hAnsi="Verdana"/>
          <w:sz w:val="22"/>
          <w:szCs w:val="22"/>
        </w:rPr>
        <w:t xml:space="preserve">En cuanto a la </w:t>
      </w:r>
      <w:r w:rsidRPr="0006306D">
        <w:rPr>
          <w:rFonts w:ascii="Verdana" w:hAnsi="Verdana"/>
          <w:b/>
          <w:bCs/>
          <w:sz w:val="22"/>
          <w:szCs w:val="22"/>
        </w:rPr>
        <w:t>demanda</w:t>
      </w:r>
      <w:r w:rsidRPr="00AE6D03">
        <w:rPr>
          <w:rFonts w:ascii="Verdana" w:hAnsi="Verdana"/>
          <w:sz w:val="22"/>
          <w:szCs w:val="22"/>
        </w:rPr>
        <w:t xml:space="preserve">, debe definir los costos de las actividades priorizadas en grandes rubros: conservación y restauración, reconversión y sustitución; y componentes transversales, en un primer momento el censo a productores y de manera permanente educación ambiental y funcionamiento de instancias de articulación y fiscalización. </w:t>
      </w:r>
    </w:p>
    <w:p w:rsidR="0006306D" w:rsidP="003C081A" w:rsidRDefault="003C081A" w14:paraId="6366235C" w14:textId="4F65F8D0">
      <w:pPr>
        <w:jc w:val="both"/>
        <w:rPr>
          <w:rFonts w:ascii="Verdana" w:hAnsi="Verdana"/>
          <w:sz w:val="22"/>
          <w:szCs w:val="22"/>
        </w:rPr>
      </w:pPr>
      <w:r w:rsidRPr="00AE6D03">
        <w:rPr>
          <w:rFonts w:ascii="Verdana" w:hAnsi="Verdana"/>
          <w:sz w:val="22"/>
          <w:szCs w:val="22"/>
        </w:rPr>
        <w:t xml:space="preserve">Con respecto a los </w:t>
      </w:r>
      <w:r w:rsidRPr="0006306D">
        <w:rPr>
          <w:rFonts w:ascii="Verdana" w:hAnsi="Verdana"/>
          <w:b/>
          <w:bCs/>
          <w:sz w:val="22"/>
          <w:szCs w:val="22"/>
        </w:rPr>
        <w:t>incentivos</w:t>
      </w:r>
      <w:r w:rsidRPr="00AE6D03">
        <w:rPr>
          <w:rFonts w:ascii="Verdana" w:hAnsi="Verdana"/>
          <w:sz w:val="22"/>
          <w:szCs w:val="22"/>
        </w:rPr>
        <w:t>, debe propiciar la articulación en el territorio de los incentivos de las entidades del sector ambiental y agropecuario que garantice la implementación rápida de la hoja de ruta concertada del programa de reconversión y sustitución. También debe garantizar la financiación de proyectos piloto para conservación y restauración; y reconversión y sustitución.</w:t>
      </w:r>
    </w:p>
    <w:p w:rsidRPr="00AE6D03" w:rsidR="007C2539" w:rsidP="003C081A" w:rsidRDefault="007C2539" w14:paraId="16071204" w14:textId="77777777">
      <w:pPr>
        <w:jc w:val="both"/>
        <w:rPr>
          <w:rFonts w:ascii="Verdana" w:hAnsi="Verdana"/>
          <w:sz w:val="22"/>
          <w:szCs w:val="22"/>
        </w:rPr>
      </w:pPr>
    </w:p>
    <w:p w:rsidR="003C081A" w:rsidP="00C75E01" w:rsidRDefault="003C081A" w14:paraId="1ADABDA2" w14:textId="284ADDC0">
      <w:pPr>
        <w:pStyle w:val="Estilo5"/>
      </w:pPr>
      <w:r w:rsidRPr="0006306D">
        <w:t>Actores sector privado</w:t>
      </w:r>
    </w:p>
    <w:p w:rsidRPr="007C2539" w:rsidR="007C2539" w:rsidP="007C2539" w:rsidRDefault="007C2539" w14:paraId="5B29CE5D" w14:textId="77777777">
      <w:pPr>
        <w:pStyle w:val="Ttulo3"/>
      </w:pPr>
    </w:p>
    <w:p w:rsidRPr="00AE6D03" w:rsidR="003C081A" w:rsidP="003C081A" w:rsidRDefault="003C081A" w14:paraId="0E191A97" w14:textId="77777777">
      <w:pPr>
        <w:jc w:val="both"/>
        <w:rPr>
          <w:rFonts w:ascii="Verdana" w:hAnsi="Verdana"/>
          <w:sz w:val="22"/>
          <w:szCs w:val="22"/>
        </w:rPr>
      </w:pPr>
      <w:r w:rsidRPr="00AE6D03">
        <w:rPr>
          <w:rFonts w:ascii="Verdana" w:hAnsi="Verdana"/>
          <w:sz w:val="22"/>
          <w:szCs w:val="22"/>
        </w:rPr>
        <w:t xml:space="preserve">Con respecto al sector privado, la propuesta de CORPONOR incluyó entidades y agentes privados con presencia en la región tales como los proyectos </w:t>
      </w:r>
      <w:proofErr w:type="spellStart"/>
      <w:r w:rsidRPr="00AE6D03">
        <w:rPr>
          <w:rFonts w:ascii="Verdana" w:hAnsi="Verdana"/>
          <w:sz w:val="22"/>
          <w:szCs w:val="22"/>
        </w:rPr>
        <w:t>Termotasejero</w:t>
      </w:r>
      <w:proofErr w:type="spellEnd"/>
      <w:r w:rsidRPr="00AE6D03">
        <w:rPr>
          <w:rFonts w:ascii="Verdana" w:hAnsi="Verdana"/>
          <w:sz w:val="22"/>
          <w:szCs w:val="22"/>
        </w:rPr>
        <w:t xml:space="preserve"> y </w:t>
      </w:r>
      <w:proofErr w:type="spellStart"/>
      <w:r w:rsidRPr="00AE6D03">
        <w:rPr>
          <w:rFonts w:ascii="Verdana" w:hAnsi="Verdana"/>
          <w:sz w:val="22"/>
          <w:szCs w:val="22"/>
        </w:rPr>
        <w:t>Termotasajero</w:t>
      </w:r>
      <w:proofErr w:type="spellEnd"/>
      <w:r w:rsidRPr="00AE6D03">
        <w:rPr>
          <w:rFonts w:ascii="Verdana" w:hAnsi="Verdana"/>
          <w:sz w:val="22"/>
          <w:szCs w:val="22"/>
        </w:rPr>
        <w:t xml:space="preserve"> II, </w:t>
      </w:r>
      <w:proofErr w:type="spellStart"/>
      <w:r w:rsidRPr="00AE6D03">
        <w:rPr>
          <w:rFonts w:ascii="Verdana" w:hAnsi="Verdana"/>
          <w:sz w:val="22"/>
          <w:szCs w:val="22"/>
        </w:rPr>
        <w:t>Cens</w:t>
      </w:r>
      <w:proofErr w:type="spellEnd"/>
      <w:r w:rsidRPr="00AE6D03">
        <w:rPr>
          <w:rFonts w:ascii="Verdana" w:hAnsi="Verdana"/>
          <w:sz w:val="22"/>
          <w:szCs w:val="22"/>
        </w:rPr>
        <w:t xml:space="preserve">-EPM, Bavaria, Postobón y </w:t>
      </w:r>
      <w:proofErr w:type="spellStart"/>
      <w:r w:rsidRPr="00AE6D03">
        <w:rPr>
          <w:rFonts w:ascii="Verdana" w:hAnsi="Verdana"/>
          <w:sz w:val="22"/>
          <w:szCs w:val="22"/>
        </w:rPr>
        <w:t>Cocacola</w:t>
      </w:r>
      <w:proofErr w:type="spellEnd"/>
      <w:r w:rsidRPr="00AE6D03">
        <w:rPr>
          <w:rFonts w:ascii="Verdana" w:hAnsi="Verdana"/>
          <w:sz w:val="22"/>
          <w:szCs w:val="22"/>
        </w:rPr>
        <w:t>, Bancolombia y otras entidades financieras, gremios de carbón y de la arcilla, Cámara de comercio de Cúcuta y Fenalco, Homecenter y otras grandes superficies, así como Centros Comerciales.</w:t>
      </w:r>
    </w:p>
    <w:p w:rsidRPr="00AE6D03" w:rsidR="003C081A" w:rsidP="003C081A" w:rsidRDefault="003C081A" w14:paraId="38AFB5A0" w14:textId="77777777">
      <w:pPr>
        <w:jc w:val="both"/>
        <w:rPr>
          <w:rFonts w:ascii="Verdana" w:hAnsi="Verdana"/>
          <w:sz w:val="22"/>
          <w:szCs w:val="22"/>
        </w:rPr>
      </w:pPr>
      <w:r w:rsidRPr="00AE6D03">
        <w:rPr>
          <w:rFonts w:ascii="Verdana" w:hAnsi="Verdana"/>
          <w:sz w:val="22"/>
          <w:szCs w:val="22"/>
        </w:rPr>
        <w:t xml:space="preserve">Para estos actores, se propuso la aplicación de obligaciones como la inversión forzosa del 1% de proyectos que utilizan agua; las compensaciones ambientales </w:t>
      </w:r>
      <w:r w:rsidRPr="00AE6D03">
        <w:rPr>
          <w:rFonts w:ascii="Verdana" w:hAnsi="Verdana"/>
          <w:sz w:val="22"/>
          <w:szCs w:val="22"/>
        </w:rPr>
        <w:lastRenderedPageBreak/>
        <w:t xml:space="preserve">asociadas al licenciamiento ambiental; el uso de recursos derivados de los programas de Responsabilidad Social Empresarial-RSE; el uso de incentivos tributarios; y aportes voluntarios y donaciones. </w:t>
      </w:r>
    </w:p>
    <w:p w:rsidRPr="00AE6D03" w:rsidR="003C081A" w:rsidP="003C081A" w:rsidRDefault="003C081A" w14:paraId="3280B02A" w14:textId="77777777">
      <w:pPr>
        <w:jc w:val="both"/>
        <w:rPr>
          <w:rFonts w:ascii="Verdana" w:hAnsi="Verdana"/>
          <w:sz w:val="22"/>
          <w:szCs w:val="22"/>
        </w:rPr>
      </w:pPr>
      <w:r w:rsidRPr="00AE6D03">
        <w:rPr>
          <w:rFonts w:ascii="Verdana" w:hAnsi="Verdana"/>
          <w:sz w:val="22"/>
          <w:szCs w:val="22"/>
        </w:rPr>
        <w:t xml:space="preserve">También debe incluirse a </w:t>
      </w:r>
      <w:proofErr w:type="spellStart"/>
      <w:r w:rsidRPr="00AE6D03">
        <w:rPr>
          <w:rFonts w:ascii="Verdana" w:hAnsi="Verdana"/>
          <w:sz w:val="22"/>
          <w:szCs w:val="22"/>
        </w:rPr>
        <w:t>Asozulia</w:t>
      </w:r>
      <w:proofErr w:type="spellEnd"/>
      <w:r w:rsidRPr="00AE6D03">
        <w:rPr>
          <w:rFonts w:ascii="Verdana" w:hAnsi="Verdana"/>
          <w:sz w:val="22"/>
          <w:szCs w:val="22"/>
        </w:rPr>
        <w:t xml:space="preserve">, dado que es el mayor usuario del agua de la cuenca del Río Zulia y podría hacer aportes en la compra de predios, </w:t>
      </w:r>
      <w:proofErr w:type="spellStart"/>
      <w:r w:rsidRPr="00AE6D03">
        <w:rPr>
          <w:rFonts w:ascii="Verdana" w:hAnsi="Verdana"/>
          <w:sz w:val="22"/>
          <w:szCs w:val="22"/>
        </w:rPr>
        <w:t>revegetalización</w:t>
      </w:r>
      <w:proofErr w:type="spellEnd"/>
      <w:r w:rsidRPr="00AE6D03">
        <w:rPr>
          <w:rFonts w:ascii="Verdana" w:hAnsi="Verdana"/>
          <w:sz w:val="22"/>
          <w:szCs w:val="22"/>
        </w:rPr>
        <w:t xml:space="preserve"> y sistemas agroforestales, entre otros.</w:t>
      </w:r>
    </w:p>
    <w:p w:rsidRPr="00AE6D03" w:rsidR="003C081A" w:rsidP="003C081A" w:rsidRDefault="003C081A" w14:paraId="40E1F8BD" w14:textId="77777777">
      <w:pPr>
        <w:jc w:val="both"/>
        <w:rPr>
          <w:rFonts w:ascii="Verdana" w:hAnsi="Verdana"/>
          <w:sz w:val="22"/>
          <w:szCs w:val="22"/>
        </w:rPr>
      </w:pPr>
      <w:r w:rsidRPr="00AE6D03">
        <w:rPr>
          <w:rFonts w:ascii="Verdana" w:hAnsi="Verdana"/>
          <w:sz w:val="22"/>
          <w:szCs w:val="22"/>
        </w:rPr>
        <w:t xml:space="preserve">Por el lado del departamento de Santander, en el grupo de fundadores del fondo de agua de Bucaramanga se encuentran, además de la CDMB y el Área Metropolitana de Bucaramanga, </w:t>
      </w:r>
      <w:proofErr w:type="spellStart"/>
      <w:r w:rsidRPr="00AE6D03">
        <w:rPr>
          <w:rFonts w:ascii="Verdana" w:hAnsi="Verdana"/>
          <w:sz w:val="22"/>
          <w:szCs w:val="22"/>
        </w:rPr>
        <w:t>The</w:t>
      </w:r>
      <w:proofErr w:type="spellEnd"/>
      <w:r w:rsidRPr="00AE6D03">
        <w:rPr>
          <w:rFonts w:ascii="Verdana" w:hAnsi="Verdana"/>
          <w:sz w:val="22"/>
          <w:szCs w:val="22"/>
        </w:rPr>
        <w:t xml:space="preserve"> </w:t>
      </w:r>
      <w:proofErr w:type="spellStart"/>
      <w:r w:rsidRPr="00AE6D03">
        <w:rPr>
          <w:rFonts w:ascii="Verdana" w:hAnsi="Verdana"/>
          <w:sz w:val="22"/>
          <w:szCs w:val="22"/>
        </w:rPr>
        <w:t>Nature</w:t>
      </w:r>
      <w:proofErr w:type="spellEnd"/>
      <w:r w:rsidRPr="00AE6D03">
        <w:rPr>
          <w:rFonts w:ascii="Verdana" w:hAnsi="Verdana"/>
          <w:sz w:val="22"/>
          <w:szCs w:val="22"/>
        </w:rPr>
        <w:t xml:space="preserve"> </w:t>
      </w:r>
      <w:proofErr w:type="spellStart"/>
      <w:r w:rsidRPr="00AE6D03">
        <w:rPr>
          <w:rFonts w:ascii="Verdana" w:hAnsi="Verdana"/>
          <w:sz w:val="22"/>
          <w:szCs w:val="22"/>
        </w:rPr>
        <w:t>Conservancy</w:t>
      </w:r>
      <w:proofErr w:type="spellEnd"/>
      <w:r w:rsidRPr="00AE6D03">
        <w:rPr>
          <w:rFonts w:ascii="Verdana" w:hAnsi="Verdana"/>
          <w:sz w:val="22"/>
          <w:szCs w:val="22"/>
        </w:rPr>
        <w:t xml:space="preserve">-TNC, Financiera </w:t>
      </w:r>
      <w:proofErr w:type="spellStart"/>
      <w:r w:rsidRPr="00AE6D03">
        <w:rPr>
          <w:rFonts w:ascii="Verdana" w:hAnsi="Verdana"/>
          <w:sz w:val="22"/>
          <w:szCs w:val="22"/>
        </w:rPr>
        <w:t>Comultrasan</w:t>
      </w:r>
      <w:proofErr w:type="spellEnd"/>
      <w:r w:rsidRPr="00AE6D03">
        <w:rPr>
          <w:rFonts w:ascii="Verdana" w:hAnsi="Verdana"/>
          <w:sz w:val="22"/>
          <w:szCs w:val="22"/>
        </w:rPr>
        <w:t>, Marval, Bavaria, Postobón y la Organización La Esperanza.</w:t>
      </w:r>
    </w:p>
    <w:p w:rsidRPr="00AE6D03" w:rsidR="003C081A" w:rsidP="003C081A" w:rsidRDefault="003C081A" w14:paraId="61EA4223" w14:textId="77777777">
      <w:pPr>
        <w:jc w:val="both"/>
        <w:rPr>
          <w:rFonts w:ascii="Verdana" w:hAnsi="Verdana"/>
          <w:sz w:val="22"/>
          <w:szCs w:val="22"/>
        </w:rPr>
      </w:pPr>
      <w:r w:rsidRPr="00AE6D03">
        <w:rPr>
          <w:rFonts w:ascii="Verdana" w:hAnsi="Verdana"/>
          <w:sz w:val="22"/>
          <w:szCs w:val="22"/>
        </w:rPr>
        <w:t>La incorporación de estos actores privados requiere en la etapa de implementación de la delimitación, de suscripción de acuerdos, para los dos departamentos, considerando que muchos de estos actores tienen presencia en las dos jurisdicciones.</w:t>
      </w:r>
    </w:p>
    <w:p w:rsidRPr="00B163B9" w:rsidR="00534799" w:rsidP="00534799" w:rsidRDefault="00534799" w14:paraId="097B3E9B" w14:textId="4DE2142D">
      <w:pPr>
        <w:jc w:val="both"/>
        <w:rPr>
          <w:rFonts w:ascii="Verdana" w:hAnsi="Verdana"/>
          <w:sz w:val="22"/>
          <w:szCs w:val="22"/>
        </w:rPr>
      </w:pPr>
    </w:p>
    <w:p w:rsidR="00534799" w:rsidP="00C75E01" w:rsidRDefault="00534799" w14:paraId="7CAD9AAA" w14:textId="3E7A9CE1">
      <w:pPr>
        <w:pStyle w:val="Estilo4"/>
      </w:pPr>
      <w:bookmarkStart w:name="_Toc234617869" w:id="82"/>
      <w:bookmarkStart w:name="_Toc234618996" w:id="83"/>
      <w:r w:rsidRPr="00B163B9">
        <w:t>Fase de Concertación</w:t>
      </w:r>
      <w:bookmarkEnd w:id="82"/>
      <w:bookmarkEnd w:id="83"/>
      <w:r w:rsidRPr="00B163B9">
        <w:t xml:space="preserve"> </w:t>
      </w:r>
    </w:p>
    <w:p w:rsidRPr="00B163B9" w:rsidR="00C75E01" w:rsidP="00C75E01" w:rsidRDefault="00C75E01" w14:paraId="00E129BA" w14:textId="77777777">
      <w:pPr>
        <w:pStyle w:val="Estilo4"/>
        <w:numPr>
          <w:ilvl w:val="0"/>
          <w:numId w:val="0"/>
        </w:numPr>
        <w:ind w:left="1440"/>
      </w:pPr>
    </w:p>
    <w:p w:rsidRPr="00B163B9" w:rsidR="00534799" w:rsidP="00534799" w:rsidRDefault="00534799" w14:paraId="225BCD4E" w14:textId="6669112F">
      <w:pPr>
        <w:jc w:val="both"/>
        <w:rPr>
          <w:rFonts w:ascii="Verdana" w:hAnsi="Verdana"/>
          <w:b/>
          <w:bCs/>
          <w:sz w:val="22"/>
          <w:szCs w:val="22"/>
        </w:rPr>
      </w:pPr>
      <w:r w:rsidRPr="00B163B9">
        <w:rPr>
          <w:rFonts w:ascii="Verdana" w:hAnsi="Verdana"/>
          <w:sz w:val="22"/>
          <w:szCs w:val="22"/>
        </w:rPr>
        <w:t xml:space="preserve">En cumplimiento del mandato constitucional establecido en la Sentencia T-361 de 2017, que ordenó adelantar un proceso de delimitación participativa del páramo Santurbán-Berlín con garantía efectiva del derecho a la participación ambiental, se han cerrado 28 espacios de concertación municipal que representan el 70 % del total de municipios sujetos a este proceso (40 </w:t>
      </w:r>
      <w:r w:rsidRPr="0006306D">
        <w:rPr>
          <w:rFonts w:ascii="Verdana" w:hAnsi="Verdana"/>
          <w:sz w:val="22"/>
          <w:szCs w:val="22"/>
          <w:shd w:val="clear" w:color="auto" w:fill="FFFFFF" w:themeFill="background1"/>
        </w:rPr>
        <w:t xml:space="preserve">municipios) </w:t>
      </w:r>
      <w:r w:rsidRPr="0006306D">
        <w:rPr>
          <w:rFonts w:ascii="Verdana" w:hAnsi="Verdana"/>
          <w:b/>
          <w:bCs/>
          <w:sz w:val="22"/>
          <w:szCs w:val="22"/>
          <w:shd w:val="clear" w:color="auto" w:fill="FFFFFF" w:themeFill="background1"/>
        </w:rPr>
        <w:t>(</w:t>
      </w:r>
      <w:r w:rsidRPr="007C2539" w:rsidR="0006306D">
        <w:rPr>
          <w:rFonts w:ascii="Verdana" w:hAnsi="Verdana"/>
          <w:i/>
          <w:iCs/>
          <w:sz w:val="22"/>
          <w:szCs w:val="22"/>
          <w:shd w:val="clear" w:color="auto" w:fill="FFFFFF" w:themeFill="background1"/>
        </w:rPr>
        <w:t>Ilustración 15</w:t>
      </w:r>
      <w:r w:rsidRPr="0006306D">
        <w:rPr>
          <w:rFonts w:ascii="Verdana" w:hAnsi="Verdana"/>
          <w:b/>
          <w:bCs/>
          <w:sz w:val="22"/>
          <w:szCs w:val="22"/>
          <w:shd w:val="clear" w:color="auto" w:fill="FFFFFF" w:themeFill="background1"/>
        </w:rPr>
        <w:t>).</w:t>
      </w:r>
    </w:p>
    <w:p w:rsidRPr="007C2539" w:rsidR="00534799" w:rsidP="0006306D" w:rsidRDefault="007C2539" w14:paraId="7E3F0342" w14:textId="02450721">
      <w:pPr>
        <w:pStyle w:val="Descripcin"/>
        <w:jc w:val="center"/>
        <w:rPr>
          <w:rFonts w:ascii="Verdana" w:hAnsi="Verdana"/>
          <w:sz w:val="18"/>
          <w:szCs w:val="18"/>
        </w:rPr>
      </w:pPr>
      <w:bookmarkStart w:name="_Toc234617646" w:id="84"/>
      <w:bookmarkStart w:name="_Toc234617754" w:id="85"/>
      <w:bookmarkStart w:name="_Toc234617952" w:id="86"/>
      <w:bookmarkStart w:name="_Toc234618852" w:id="87"/>
      <w:r w:rsidRPr="007C2539">
        <w:rPr>
          <w:rFonts w:ascii="Verdana" w:hAnsi="Verdana"/>
          <w:sz w:val="18"/>
          <w:szCs w:val="18"/>
        </w:rPr>
        <w:t xml:space="preserve">ILUSTRACIÓN </w:t>
      </w:r>
      <w:r w:rsidRPr="007C2539" w:rsidR="0006306D">
        <w:rPr>
          <w:rFonts w:ascii="Verdana" w:hAnsi="Verdana"/>
          <w:sz w:val="18"/>
          <w:szCs w:val="18"/>
        </w:rPr>
        <w:fldChar w:fldCharType="begin"/>
      </w:r>
      <w:r w:rsidRPr="007C2539" w:rsidR="0006306D">
        <w:rPr>
          <w:rFonts w:ascii="Verdana" w:hAnsi="Verdana"/>
          <w:sz w:val="18"/>
          <w:szCs w:val="18"/>
        </w:rPr>
        <w:instrText xml:space="preserve"> SEQ Ilustración \* ARABIC </w:instrText>
      </w:r>
      <w:r w:rsidRPr="007C2539" w:rsidR="0006306D">
        <w:rPr>
          <w:rFonts w:ascii="Verdana" w:hAnsi="Verdana"/>
          <w:sz w:val="18"/>
          <w:szCs w:val="18"/>
        </w:rPr>
        <w:fldChar w:fldCharType="separate"/>
      </w:r>
      <w:r w:rsidRPr="007C2539">
        <w:rPr>
          <w:rFonts w:ascii="Verdana" w:hAnsi="Verdana"/>
          <w:noProof/>
          <w:sz w:val="18"/>
          <w:szCs w:val="18"/>
        </w:rPr>
        <w:t>15</w:t>
      </w:r>
      <w:r w:rsidRPr="007C2539" w:rsidR="0006306D">
        <w:rPr>
          <w:rFonts w:ascii="Verdana" w:hAnsi="Verdana"/>
          <w:sz w:val="18"/>
          <w:szCs w:val="18"/>
        </w:rPr>
        <w:fldChar w:fldCharType="end"/>
      </w:r>
      <w:r w:rsidRPr="007C2539">
        <w:rPr>
          <w:rFonts w:ascii="Verdana" w:hAnsi="Verdana"/>
          <w:sz w:val="18"/>
          <w:szCs w:val="18"/>
        </w:rPr>
        <w:t>. ESTADO GENERAL DE LA FASE DE CONCERTACIÓN DEL COMPLEJO DE PÁRAMOS JURISDICCIONES -SANTURBÁN -BERLÍN</w:t>
      </w:r>
      <w:bookmarkEnd w:id="84"/>
      <w:bookmarkEnd w:id="85"/>
      <w:bookmarkEnd w:id="86"/>
      <w:bookmarkEnd w:id="87"/>
    </w:p>
    <w:p w:rsidR="00534799" w:rsidP="0006306D" w:rsidRDefault="00534799" w14:paraId="3DF9B593" w14:textId="5ED987BB">
      <w:pPr>
        <w:jc w:val="center"/>
        <w:rPr>
          <w:rFonts w:ascii="Verdana" w:hAnsi="Verdana"/>
          <w:sz w:val="22"/>
          <w:szCs w:val="22"/>
        </w:rPr>
      </w:pPr>
      <w:r w:rsidRPr="00B163B9">
        <w:rPr>
          <w:rFonts w:ascii="Verdana" w:hAnsi="Verdana"/>
          <w:noProof/>
          <w:sz w:val="22"/>
          <w:szCs w:val="22"/>
        </w:rPr>
        <w:drawing>
          <wp:inline distT="0" distB="0" distL="0" distR="0" wp14:anchorId="2DD30408" wp14:editId="0D210E6B">
            <wp:extent cx="4812030" cy="2259008"/>
            <wp:effectExtent l="0" t="0" r="7620" b="825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24265" cy="2264752"/>
                    </a:xfrm>
                    <a:prstGeom prst="rect">
                      <a:avLst/>
                    </a:prstGeom>
                    <a:noFill/>
                    <a:ln>
                      <a:noFill/>
                    </a:ln>
                  </pic:spPr>
                </pic:pic>
              </a:graphicData>
            </a:graphic>
          </wp:inline>
        </w:drawing>
      </w:r>
    </w:p>
    <w:p w:rsidRPr="007C2539" w:rsidR="0006306D" w:rsidP="0006306D" w:rsidRDefault="0006306D" w14:paraId="54C73D46" w14:textId="20412A5E">
      <w:pPr>
        <w:jc w:val="center"/>
        <w:rPr>
          <w:rFonts w:ascii="Verdana" w:hAnsi="Verdana"/>
          <w:i/>
          <w:iCs/>
          <w:sz w:val="18"/>
          <w:szCs w:val="18"/>
        </w:rPr>
      </w:pPr>
      <w:r w:rsidRPr="007C2539">
        <w:rPr>
          <w:rFonts w:ascii="Verdana" w:hAnsi="Verdana"/>
          <w:i/>
          <w:iCs/>
          <w:sz w:val="18"/>
          <w:szCs w:val="18"/>
        </w:rPr>
        <w:lastRenderedPageBreak/>
        <w:t>Fuente: MADS, 2026</w:t>
      </w:r>
    </w:p>
    <w:p w:rsidRPr="00B163B9" w:rsidR="0006306D" w:rsidP="0006306D" w:rsidRDefault="0006306D" w14:paraId="5A38EC1F" w14:textId="77777777">
      <w:pPr>
        <w:jc w:val="center"/>
        <w:rPr>
          <w:rFonts w:ascii="Verdana" w:hAnsi="Verdana"/>
          <w:sz w:val="22"/>
          <w:szCs w:val="22"/>
        </w:rPr>
      </w:pPr>
    </w:p>
    <w:p w:rsidRPr="00B163B9" w:rsidR="00534799" w:rsidP="00534799" w:rsidRDefault="00534799" w14:paraId="4C9A5228" w14:textId="77777777">
      <w:pPr>
        <w:pStyle w:val="paragraph"/>
        <w:spacing w:before="0" w:beforeAutospacing="0" w:after="0" w:afterAutospacing="0"/>
        <w:jc w:val="both"/>
        <w:textAlignment w:val="baseline"/>
        <w:rPr>
          <w:rFonts w:ascii="Verdana" w:hAnsi="Verdana" w:cs="Segoe UI"/>
          <w:sz w:val="22"/>
          <w:szCs w:val="22"/>
        </w:rPr>
      </w:pPr>
      <w:r w:rsidRPr="00B163B9">
        <w:rPr>
          <w:rStyle w:val="normaltextrun"/>
          <w:rFonts w:ascii="Verdana" w:hAnsi="Verdana" w:cs="Arial"/>
          <w:sz w:val="22"/>
          <w:szCs w:val="22"/>
        </w:rPr>
        <w:t>El proceso ha registrado un avance progresivo, consolidando 24 municipios con acuerdos de concertación (60,0 %), mientras que 4 municipios (10 %) completaron el proceso sin alcanzar acuerdos, y 12 municipios (32,5%) mantienen pendientes sus espacios de concertación. La distribución temporal evidencia una intensificación de las actividades, reflejando el compromiso institucional con el cumplimiento del mandato judicial.</w:t>
      </w:r>
      <w:r w:rsidRPr="00B163B9">
        <w:rPr>
          <w:rStyle w:val="eop"/>
          <w:rFonts w:ascii="Verdana" w:hAnsi="Verdana" w:cs="Arial"/>
          <w:sz w:val="22"/>
          <w:szCs w:val="22"/>
        </w:rPr>
        <w:t> </w:t>
      </w:r>
    </w:p>
    <w:p w:rsidRPr="00B163B9" w:rsidR="00534799" w:rsidP="00534799" w:rsidRDefault="00534799" w14:paraId="574EB297" w14:textId="749ADEB2">
      <w:pPr>
        <w:pStyle w:val="paragraph"/>
        <w:spacing w:before="0" w:beforeAutospacing="0" w:after="0" w:afterAutospacing="0"/>
        <w:jc w:val="both"/>
        <w:textAlignment w:val="baseline"/>
        <w:rPr>
          <w:rFonts w:ascii="Verdana" w:hAnsi="Verdana" w:cs="Segoe UI"/>
          <w:sz w:val="22"/>
          <w:szCs w:val="22"/>
        </w:rPr>
      </w:pPr>
      <w:r w:rsidRPr="00B163B9">
        <w:rPr>
          <w:rStyle w:val="normaltextrun"/>
          <w:rFonts w:ascii="Verdana" w:hAnsi="Verdana" w:cs="Arial"/>
          <w:sz w:val="22"/>
          <w:szCs w:val="22"/>
        </w:rPr>
        <w:t xml:space="preserve">El análisis por departamentos muestra que Norte de Santander concentra el mayor número de municipios en el proceso (27 municipios, 67,5% del total), de los cuales 16 han cerrado su fase de concertación (40,0% del total) y 11 permanecen pendientes (27,5%). Por su parte, Santander registra 11 municipios con concertación cerrada (27,5%) y 2 pendientes (5,0%), evidenciando un mayor grado de avance relativo en este </w:t>
      </w:r>
      <w:r w:rsidRPr="007C2539">
        <w:rPr>
          <w:rStyle w:val="normaltextrun"/>
          <w:rFonts w:ascii="Verdana" w:hAnsi="Verdana" w:cs="Arial"/>
          <w:sz w:val="22"/>
          <w:szCs w:val="22"/>
        </w:rPr>
        <w:t>departamento </w:t>
      </w:r>
      <w:r w:rsidRPr="007C2539" w:rsidR="007C2539">
        <w:rPr>
          <w:rStyle w:val="normaltextrun"/>
          <w:rFonts w:ascii="Verdana" w:hAnsi="Verdana" w:cs="Arial"/>
          <w:i/>
          <w:iCs/>
          <w:sz w:val="22"/>
          <w:szCs w:val="22"/>
        </w:rPr>
        <w:t>(Ilustración 16)</w:t>
      </w:r>
      <w:r w:rsidRPr="007C2539">
        <w:rPr>
          <w:rStyle w:val="normaltextrun"/>
          <w:rFonts w:ascii="Verdana" w:hAnsi="Verdana" w:cs="Arial"/>
          <w:i/>
          <w:iCs/>
          <w:sz w:val="22"/>
          <w:szCs w:val="22"/>
        </w:rPr>
        <w:t>.</w:t>
      </w:r>
      <w:r w:rsidRPr="00B163B9">
        <w:rPr>
          <w:rStyle w:val="eop"/>
          <w:rFonts w:ascii="Verdana" w:hAnsi="Verdana" w:cs="Arial"/>
          <w:sz w:val="22"/>
          <w:szCs w:val="22"/>
        </w:rPr>
        <w:t> </w:t>
      </w:r>
    </w:p>
    <w:p w:rsidR="00534799" w:rsidP="00534799" w:rsidRDefault="00534799" w14:paraId="3C066D59" w14:textId="6118B866">
      <w:pPr>
        <w:jc w:val="both"/>
        <w:rPr>
          <w:rFonts w:ascii="Verdana" w:hAnsi="Verdana"/>
          <w:sz w:val="22"/>
          <w:szCs w:val="22"/>
        </w:rPr>
      </w:pPr>
    </w:p>
    <w:p w:rsidRPr="007C2539" w:rsidR="0006306D" w:rsidP="0006306D" w:rsidRDefault="007C2539" w14:paraId="0C66FE1E" w14:textId="3C51A141">
      <w:pPr>
        <w:pStyle w:val="Descripcin"/>
        <w:jc w:val="center"/>
        <w:rPr>
          <w:rFonts w:ascii="Verdana" w:hAnsi="Verdana"/>
          <w:sz w:val="18"/>
          <w:szCs w:val="18"/>
        </w:rPr>
      </w:pPr>
      <w:bookmarkStart w:name="_Toc234617647" w:id="88"/>
      <w:bookmarkStart w:name="_Toc234617755" w:id="89"/>
      <w:bookmarkStart w:name="_Toc234617953" w:id="90"/>
      <w:bookmarkStart w:name="_Toc234618853" w:id="91"/>
      <w:r w:rsidRPr="007C2539">
        <w:rPr>
          <w:rFonts w:ascii="Verdana" w:hAnsi="Verdana"/>
          <w:sz w:val="18"/>
          <w:szCs w:val="18"/>
        </w:rPr>
        <w:t xml:space="preserve">ILUSTRACIÓN </w:t>
      </w:r>
      <w:r w:rsidRPr="007C2539" w:rsidR="0006306D">
        <w:rPr>
          <w:rFonts w:ascii="Verdana" w:hAnsi="Verdana"/>
          <w:sz w:val="18"/>
          <w:szCs w:val="18"/>
        </w:rPr>
        <w:fldChar w:fldCharType="begin"/>
      </w:r>
      <w:r w:rsidRPr="007C2539" w:rsidR="0006306D">
        <w:rPr>
          <w:rFonts w:ascii="Verdana" w:hAnsi="Verdana"/>
          <w:sz w:val="18"/>
          <w:szCs w:val="18"/>
        </w:rPr>
        <w:instrText xml:space="preserve"> SEQ Ilustración \* ARABIC </w:instrText>
      </w:r>
      <w:r w:rsidRPr="007C2539" w:rsidR="0006306D">
        <w:rPr>
          <w:rFonts w:ascii="Verdana" w:hAnsi="Verdana"/>
          <w:sz w:val="18"/>
          <w:szCs w:val="18"/>
        </w:rPr>
        <w:fldChar w:fldCharType="separate"/>
      </w:r>
      <w:r w:rsidRPr="007C2539">
        <w:rPr>
          <w:rFonts w:ascii="Verdana" w:hAnsi="Verdana"/>
          <w:noProof/>
          <w:sz w:val="18"/>
          <w:szCs w:val="18"/>
        </w:rPr>
        <w:t>16</w:t>
      </w:r>
      <w:r w:rsidRPr="007C2539" w:rsidR="0006306D">
        <w:rPr>
          <w:rFonts w:ascii="Verdana" w:hAnsi="Verdana"/>
          <w:sz w:val="18"/>
          <w:szCs w:val="18"/>
        </w:rPr>
        <w:fldChar w:fldCharType="end"/>
      </w:r>
      <w:r w:rsidRPr="007C2539">
        <w:rPr>
          <w:rFonts w:ascii="Verdana" w:hAnsi="Verdana"/>
          <w:sz w:val="18"/>
          <w:szCs w:val="18"/>
        </w:rPr>
        <w:t>. ESTADO POR DEPARTAMENTO DE LA FASE DE CONCERTACIÓN DEL COMPLEJO DE PÁRAMOS JURISDICCIONES -SANTURBÁN -BERLÍN</w:t>
      </w:r>
      <w:bookmarkEnd w:id="88"/>
      <w:bookmarkEnd w:id="89"/>
      <w:bookmarkEnd w:id="90"/>
      <w:bookmarkEnd w:id="91"/>
    </w:p>
    <w:p w:rsidR="0053202B" w:rsidP="00534799" w:rsidRDefault="0053202B" w14:paraId="6FF7EC1F" w14:textId="68F9FF98">
      <w:pPr>
        <w:jc w:val="both"/>
        <w:rPr>
          <w:rFonts w:ascii="Verdana" w:hAnsi="Verdana"/>
          <w:sz w:val="22"/>
          <w:szCs w:val="22"/>
        </w:rPr>
      </w:pPr>
      <w:r w:rsidRPr="00B163B9">
        <w:rPr>
          <w:rFonts w:ascii="Verdana" w:hAnsi="Verdana"/>
          <w:noProof/>
          <w:sz w:val="22"/>
          <w:szCs w:val="22"/>
        </w:rPr>
        <w:drawing>
          <wp:inline distT="0" distB="0" distL="0" distR="0" wp14:anchorId="7C363F3F" wp14:editId="79E511BD">
            <wp:extent cx="5612130" cy="2625090"/>
            <wp:effectExtent l="0" t="0" r="7620" b="381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2130" cy="2625090"/>
                    </a:xfrm>
                    <a:prstGeom prst="rect">
                      <a:avLst/>
                    </a:prstGeom>
                    <a:noFill/>
                    <a:ln>
                      <a:noFill/>
                    </a:ln>
                  </pic:spPr>
                </pic:pic>
              </a:graphicData>
            </a:graphic>
          </wp:inline>
        </w:drawing>
      </w:r>
    </w:p>
    <w:p w:rsidRPr="007C2539" w:rsidR="0006306D" w:rsidP="0006306D" w:rsidRDefault="0006306D" w14:paraId="59CF62A1" w14:textId="3139D30B">
      <w:pPr>
        <w:jc w:val="center"/>
        <w:rPr>
          <w:rFonts w:ascii="Verdana" w:hAnsi="Verdana"/>
          <w:i/>
          <w:iCs/>
          <w:sz w:val="18"/>
          <w:szCs w:val="18"/>
        </w:rPr>
      </w:pPr>
      <w:r w:rsidRPr="007C2539">
        <w:rPr>
          <w:rFonts w:ascii="Verdana" w:hAnsi="Verdana"/>
          <w:i/>
          <w:iCs/>
          <w:sz w:val="18"/>
          <w:szCs w:val="18"/>
        </w:rPr>
        <w:t>Fuente: MADS, 2026</w:t>
      </w:r>
    </w:p>
    <w:p w:rsidR="001F7CED" w:rsidP="00122ECD" w:rsidRDefault="00122ECD" w14:paraId="52F706E8" w14:textId="77777777">
      <w:pPr>
        <w:jc w:val="both"/>
        <w:rPr>
          <w:rFonts w:ascii="Verdana" w:hAnsi="Verdana"/>
          <w:sz w:val="22"/>
          <w:szCs w:val="22"/>
        </w:rPr>
      </w:pPr>
      <w:r w:rsidRPr="00B163B9">
        <w:rPr>
          <w:rFonts w:ascii="Verdana" w:hAnsi="Verdana"/>
          <w:sz w:val="22"/>
          <w:szCs w:val="22"/>
        </w:rPr>
        <w:t xml:space="preserve">En el marco del Tema de </w:t>
      </w:r>
      <w:r w:rsidRPr="00B163B9">
        <w:rPr>
          <w:rFonts w:ascii="Verdana" w:hAnsi="Verdana"/>
          <w:b/>
          <w:bCs/>
          <w:sz w:val="22"/>
          <w:szCs w:val="22"/>
        </w:rPr>
        <w:t>Diálogo Ineludible No. 6</w:t>
      </w:r>
      <w:r w:rsidRPr="00B163B9">
        <w:rPr>
          <w:rFonts w:ascii="Verdana" w:hAnsi="Verdana"/>
          <w:sz w:val="22"/>
          <w:szCs w:val="22"/>
        </w:rPr>
        <w:t xml:space="preserve"> – Modelo de Financiación, desarrollado durante la fase de concertación del proceso de delimitación participativa del Complejo de Páramos Jurisdicciones–Santurbán–Berlín, el Ministerio de Ambiente y Desarrollo Sostenible presentó la propuesta de modelo de financiación a las comunidades y actores institucionales de los departamentos de Santander y Norte de Santander. </w:t>
      </w:r>
    </w:p>
    <w:p w:rsidR="00534799" w:rsidP="00122ECD" w:rsidRDefault="00122ECD" w14:paraId="136EA801" w14:textId="5EE894CD">
      <w:pPr>
        <w:jc w:val="both"/>
        <w:rPr>
          <w:rFonts w:ascii="Verdana" w:hAnsi="Verdana"/>
          <w:sz w:val="22"/>
          <w:szCs w:val="22"/>
        </w:rPr>
      </w:pPr>
      <w:r w:rsidRPr="00B163B9">
        <w:rPr>
          <w:rFonts w:ascii="Verdana" w:hAnsi="Verdana"/>
          <w:sz w:val="22"/>
          <w:szCs w:val="22"/>
        </w:rPr>
        <w:lastRenderedPageBreak/>
        <w:t>Como resultado de las jornadas de concertación, se consolidaron consensos razonados orientados a fortalecer la sostenibilidad financiera de la gestión integral del complejo de páramos, mediante la identificación de prioridades de inversión, fuentes de financiación, incentivos y mecanismos financieros que permitan garantizar la conservación del ecosistema, la protección de los servicios ecosistémicos y el desarrollo sostenible de las comunidades que habitan y dependen del territorio.</w:t>
      </w:r>
    </w:p>
    <w:p w:rsidR="00122ECD" w:rsidP="00122ECD" w:rsidRDefault="00122ECD" w14:paraId="5E543E04" w14:textId="590A6AB5">
      <w:pPr>
        <w:jc w:val="both"/>
        <w:rPr>
          <w:rFonts w:ascii="Verdana" w:hAnsi="Verdana"/>
          <w:sz w:val="22"/>
          <w:szCs w:val="22"/>
        </w:rPr>
      </w:pPr>
      <w:r w:rsidRPr="00B163B9">
        <w:rPr>
          <w:rFonts w:ascii="Verdana" w:hAnsi="Verdana"/>
          <w:sz w:val="22"/>
          <w:szCs w:val="22"/>
        </w:rPr>
        <w:t xml:space="preserve">Los principales consensos razonados alcanzados </w:t>
      </w:r>
      <w:r w:rsidR="001F7CED">
        <w:rPr>
          <w:rFonts w:ascii="Verdana" w:hAnsi="Verdana"/>
          <w:sz w:val="22"/>
          <w:szCs w:val="22"/>
        </w:rPr>
        <w:t xml:space="preserve">para el tema de dialogo Ineludible </w:t>
      </w:r>
      <w:r w:rsidRPr="00B163B9">
        <w:rPr>
          <w:rFonts w:ascii="Verdana" w:hAnsi="Verdana"/>
          <w:sz w:val="22"/>
          <w:szCs w:val="22"/>
        </w:rPr>
        <w:t>del modelo de financiación se presentan a continuación.</w:t>
      </w:r>
    </w:p>
    <w:p w:rsidR="00C75E01" w:rsidP="00122ECD" w:rsidRDefault="00C75E01" w14:paraId="7FAC8D0C" w14:textId="77777777">
      <w:pPr>
        <w:jc w:val="both"/>
        <w:rPr>
          <w:rFonts w:ascii="Verdana" w:hAnsi="Verdana"/>
          <w:sz w:val="22"/>
          <w:szCs w:val="22"/>
        </w:rPr>
      </w:pPr>
    </w:p>
    <w:p w:rsidR="00CE6005" w:rsidP="00C75E01" w:rsidRDefault="00CE6005" w14:paraId="2A16D740" w14:textId="61CEE739">
      <w:pPr>
        <w:pStyle w:val="Estilo5"/>
      </w:pPr>
      <w:r w:rsidRPr="0006306D">
        <w:t xml:space="preserve">Componente de Demanda </w:t>
      </w:r>
    </w:p>
    <w:p w:rsidR="00A30423" w:rsidP="00A30423" w:rsidRDefault="00A30423" w14:paraId="59894DAC" w14:textId="19AC1539">
      <w:pPr>
        <w:jc w:val="both"/>
        <w:rPr>
          <w:rFonts w:ascii="Verdana" w:hAnsi="Verdana"/>
          <w:sz w:val="22"/>
          <w:szCs w:val="22"/>
        </w:rPr>
      </w:pPr>
      <w:r w:rsidRPr="00A30423">
        <w:rPr>
          <w:rFonts w:ascii="Verdana" w:hAnsi="Verdana"/>
          <w:sz w:val="22"/>
          <w:szCs w:val="22"/>
        </w:rPr>
        <w:t>En el componente de Demanda, se evidenció un amplio consenso frente a la propuesta presentada por el Ministerio de Ambiente y Desarrollo Sostenible, siendo acogida por los 2</w:t>
      </w:r>
      <w:r w:rsidRPr="00A30423">
        <w:rPr>
          <w:rFonts w:ascii="Verdana" w:hAnsi="Verdana"/>
          <w:sz w:val="22"/>
          <w:szCs w:val="22"/>
        </w:rPr>
        <w:t>3 de los 40</w:t>
      </w:r>
      <w:r w:rsidRPr="00A30423">
        <w:rPr>
          <w:rFonts w:ascii="Verdana" w:hAnsi="Verdana"/>
          <w:sz w:val="22"/>
          <w:szCs w:val="22"/>
        </w:rPr>
        <w:t xml:space="preserve"> municipios que participaron en la fase de concertación del Complejo de Páramos Jurisdicciones–Santurbán–Berlín. Las comunidades y actores institucionales coincidieron en que las prioridades de inversión deben orientarse hacia la conservación y restauración de los ecosistemas, la reconversión y sustitución productiva de las actividades incompatibles con la protección del páramo, el fortalecimiento de negocios verdes y el desarrollo de temas transversales relacionados con la generación de conocimiento, la planificación, la capacitación, la comercialización, la asociatividad y la participación comunitaria. Este consenso refleja una visión compartida sobre la necesidad de dirigir los recursos financieros hacia acciones que, además de garantizar la conservación de los servicios ecosistémicos, promuevan alternativas sostenibles para las comunidades que habitan el territorio, fortaleciendo la gobernanza y la implementación de un modelo de desarrollo compatible con la protección del C</w:t>
      </w:r>
      <w:r>
        <w:rPr>
          <w:rFonts w:ascii="Verdana" w:hAnsi="Verdana"/>
          <w:sz w:val="22"/>
          <w:szCs w:val="22"/>
        </w:rPr>
        <w:t>PJSB.</w:t>
      </w:r>
    </w:p>
    <w:p w:rsidRPr="00A30423" w:rsidR="00C75E01" w:rsidP="00A30423" w:rsidRDefault="00C75E01" w14:paraId="79B6FBF4" w14:textId="77777777">
      <w:pPr>
        <w:jc w:val="both"/>
        <w:rPr>
          <w:rFonts w:ascii="Verdana" w:hAnsi="Verdana"/>
          <w:sz w:val="22"/>
          <w:szCs w:val="22"/>
        </w:rPr>
      </w:pPr>
    </w:p>
    <w:p w:rsidRPr="0006306D" w:rsidR="0006306D" w:rsidP="00C75E01" w:rsidRDefault="0006306D" w14:paraId="4E5E03FA" w14:textId="4922644B">
      <w:pPr>
        <w:pStyle w:val="Estilo5"/>
      </w:pPr>
      <w:r>
        <w:t>Componente de Oferta</w:t>
      </w:r>
    </w:p>
    <w:p w:rsidR="00CE6005" w:rsidP="00122ECD" w:rsidRDefault="00A30423" w14:paraId="30C21688" w14:textId="0483799B">
      <w:pPr>
        <w:jc w:val="both"/>
        <w:rPr>
          <w:rFonts w:ascii="Verdana" w:hAnsi="Verdana"/>
          <w:sz w:val="22"/>
          <w:szCs w:val="22"/>
        </w:rPr>
      </w:pPr>
      <w:r w:rsidRPr="00A30423">
        <w:rPr>
          <w:rFonts w:ascii="Verdana" w:hAnsi="Verdana"/>
          <w:sz w:val="22"/>
          <w:szCs w:val="22"/>
        </w:rPr>
        <w:t>En el componente de Oferta, la propuesta presentada por el Ministerio de Ambiente y Desarrollo Sostenible obtuvo el respaldo de</w:t>
      </w:r>
      <w:r>
        <w:rPr>
          <w:rFonts w:ascii="Verdana" w:hAnsi="Verdana"/>
          <w:sz w:val="22"/>
          <w:szCs w:val="22"/>
        </w:rPr>
        <w:t xml:space="preserve"> los</w:t>
      </w:r>
      <w:r w:rsidRPr="00A30423">
        <w:rPr>
          <w:rFonts w:ascii="Verdana" w:hAnsi="Verdana"/>
          <w:sz w:val="22"/>
          <w:szCs w:val="22"/>
        </w:rPr>
        <w:t xml:space="preserve"> 23 </w:t>
      </w:r>
      <w:r>
        <w:rPr>
          <w:rFonts w:ascii="Verdana" w:hAnsi="Verdana"/>
          <w:sz w:val="22"/>
          <w:szCs w:val="22"/>
        </w:rPr>
        <w:t xml:space="preserve">de 40 </w:t>
      </w:r>
      <w:r w:rsidRPr="00A30423">
        <w:rPr>
          <w:rFonts w:ascii="Verdana" w:hAnsi="Verdana"/>
          <w:sz w:val="22"/>
          <w:szCs w:val="22"/>
        </w:rPr>
        <w:t xml:space="preserve">municipios durante la fase de concertación del </w:t>
      </w:r>
      <w:r>
        <w:rPr>
          <w:rFonts w:ascii="Verdana" w:hAnsi="Verdana"/>
          <w:sz w:val="22"/>
          <w:szCs w:val="22"/>
        </w:rPr>
        <w:t>CPJSB</w:t>
      </w:r>
      <w:r w:rsidRPr="00A30423">
        <w:rPr>
          <w:rFonts w:ascii="Verdana" w:hAnsi="Verdana"/>
          <w:sz w:val="22"/>
          <w:szCs w:val="22"/>
        </w:rPr>
        <w:t xml:space="preserve">. Los participantes coincidieron en la necesidad de consolidar un modelo de financiación basado en la articulación de múltiples fuentes de recursos, integrando instrumentos del sector ambiente, como la inversión del 1 % establecida en el artículo 111 de la Ley 99 de 1993, la Tasa por Utilización del Agua (TUA) y las Transferencias del Sector Eléctrico (TSE); así como recursos provenientes de los sectores agropecuario y minero </w:t>
      </w:r>
      <w:r w:rsidRPr="00A30423">
        <w:rPr>
          <w:rFonts w:ascii="Verdana" w:hAnsi="Verdana"/>
          <w:sz w:val="22"/>
          <w:szCs w:val="22"/>
        </w:rPr>
        <w:lastRenderedPageBreak/>
        <w:t xml:space="preserve">para apoyar los procesos de reconversión y sustitución productiva. De igual forma, se reconoció la importancia de vincular al sector turismo, el SENA, las Cámaras de Comercio, el sector privado y otros actores estratégicos, con el propósito de diversificar las fuentes de financiación y garantizar la sostenibilidad de las acciones orientadas a la conservación del páramo y al fortalecimiento de las economías locales. Este consenso refleja el reconocimiento de que la gestión integral del </w:t>
      </w:r>
      <w:r>
        <w:rPr>
          <w:rFonts w:ascii="Verdana" w:hAnsi="Verdana"/>
          <w:sz w:val="22"/>
          <w:szCs w:val="22"/>
        </w:rPr>
        <w:t>CPJSB</w:t>
      </w:r>
      <w:r w:rsidRPr="00A30423">
        <w:rPr>
          <w:rFonts w:ascii="Verdana" w:hAnsi="Verdana"/>
          <w:sz w:val="22"/>
          <w:szCs w:val="22"/>
        </w:rPr>
        <w:t xml:space="preserve"> requiere un esquema de financiación multisectorial, articulado y de largo plazo, que permita responder a las necesidades priorizadas por las comunidades y asegurar la implementación de las medidas de conservación y desarrollo sostenible.</w:t>
      </w:r>
    </w:p>
    <w:p w:rsidRPr="0006306D" w:rsidR="0006306D" w:rsidP="00C75E01" w:rsidRDefault="006D3808" w14:paraId="0FFA8EF4" w14:textId="06BE5F42">
      <w:pPr>
        <w:pStyle w:val="Estilo5"/>
      </w:pPr>
      <w:r w:rsidRPr="0006306D">
        <w:t>Componente Incentivo</w:t>
      </w:r>
      <w:r w:rsidRPr="0006306D" w:rsidR="00CE6005">
        <w:t>s</w:t>
      </w:r>
    </w:p>
    <w:p w:rsidR="006D3808" w:rsidP="006D3808" w:rsidRDefault="006D3808" w14:paraId="6C3C50D2" w14:textId="55844960">
      <w:pPr>
        <w:jc w:val="both"/>
        <w:rPr>
          <w:rFonts w:ascii="Verdana" w:hAnsi="Verdana"/>
          <w:sz w:val="22"/>
          <w:szCs w:val="22"/>
        </w:rPr>
      </w:pPr>
      <w:r w:rsidRPr="006D3808">
        <w:rPr>
          <w:rFonts w:ascii="Verdana" w:hAnsi="Verdana"/>
          <w:sz w:val="22"/>
          <w:szCs w:val="22"/>
        </w:rPr>
        <w:t>Para el componente de incentivos,</w:t>
      </w:r>
      <w:r w:rsidR="00CE6005">
        <w:rPr>
          <w:rFonts w:ascii="Verdana" w:hAnsi="Verdana"/>
          <w:sz w:val="22"/>
          <w:szCs w:val="22"/>
        </w:rPr>
        <w:t xml:space="preserve"> 23 de los 40</w:t>
      </w:r>
      <w:r w:rsidRPr="006D3808">
        <w:rPr>
          <w:rFonts w:ascii="Verdana" w:hAnsi="Verdana"/>
          <w:sz w:val="22"/>
          <w:szCs w:val="22"/>
        </w:rPr>
        <w:t xml:space="preserve"> municipios acogieron la propuesta presentada por </w:t>
      </w:r>
      <w:r w:rsidR="0006306D">
        <w:rPr>
          <w:rFonts w:ascii="Verdana" w:hAnsi="Verdana"/>
          <w:sz w:val="22"/>
          <w:szCs w:val="22"/>
        </w:rPr>
        <w:t>MADS</w:t>
      </w:r>
      <w:r w:rsidRPr="006D3808">
        <w:rPr>
          <w:rFonts w:ascii="Verdana" w:hAnsi="Verdana"/>
          <w:sz w:val="22"/>
          <w:szCs w:val="22"/>
        </w:rPr>
        <w:t xml:space="preserve"> que incluye incentivos ambientales como el PSA, la exención o reducción del impuesto predial, la compra de predios (incluyendo la valoración del grado de la conservación) y los bonos de carbono (considerando la reglamentación que debe desarrollar M</w:t>
      </w:r>
      <w:r w:rsidR="0006306D">
        <w:rPr>
          <w:rFonts w:ascii="Verdana" w:hAnsi="Verdana"/>
          <w:sz w:val="22"/>
          <w:szCs w:val="22"/>
        </w:rPr>
        <w:t>ADS</w:t>
      </w:r>
      <w:r w:rsidRPr="006D3808">
        <w:rPr>
          <w:rFonts w:ascii="Verdana" w:hAnsi="Verdana"/>
          <w:sz w:val="22"/>
          <w:szCs w:val="22"/>
        </w:rPr>
        <w:t>); así como los Negocios Verdes.</w:t>
      </w:r>
    </w:p>
    <w:p w:rsidRPr="006D3808" w:rsidR="006D3808" w:rsidP="006D3808" w:rsidRDefault="006D3808" w14:paraId="60F56E6A" w14:textId="77777777">
      <w:pPr>
        <w:jc w:val="both"/>
        <w:rPr>
          <w:rFonts w:ascii="Verdana" w:hAnsi="Verdana"/>
          <w:sz w:val="22"/>
          <w:szCs w:val="22"/>
        </w:rPr>
      </w:pPr>
      <w:r w:rsidRPr="006D3808">
        <w:rPr>
          <w:rFonts w:ascii="Verdana" w:hAnsi="Verdana"/>
          <w:sz w:val="22"/>
          <w:szCs w:val="22"/>
        </w:rPr>
        <w:t>Estos incentivos deben articularse con los del sector agropecuario: créditos de fomento, líneas especiales de crédito, incentivos a la capitalización rural, etc.</w:t>
      </w:r>
    </w:p>
    <w:p w:rsidR="006D3808" w:rsidP="006D3808" w:rsidRDefault="006D3808" w14:paraId="4299C887" w14:textId="6FE2B57F">
      <w:pPr>
        <w:jc w:val="both"/>
        <w:rPr>
          <w:rFonts w:ascii="Verdana" w:hAnsi="Verdana"/>
          <w:i/>
          <w:iCs/>
          <w:sz w:val="22"/>
          <w:szCs w:val="22"/>
        </w:rPr>
      </w:pPr>
      <w:r w:rsidRPr="006D3808">
        <w:rPr>
          <w:rFonts w:ascii="Verdana" w:hAnsi="Verdana"/>
          <w:sz w:val="22"/>
          <w:szCs w:val="22"/>
        </w:rPr>
        <w:t xml:space="preserve">Para atender de manera integral a los productores en los procesos de conservación y reconversión. Como se puede observar en la siguiente </w:t>
      </w:r>
      <w:r w:rsidRPr="007C2539">
        <w:rPr>
          <w:rFonts w:ascii="Verdana" w:hAnsi="Verdana"/>
          <w:i/>
          <w:iCs/>
          <w:sz w:val="22"/>
          <w:szCs w:val="22"/>
        </w:rPr>
        <w:t>ilustración</w:t>
      </w:r>
      <w:r w:rsidRPr="007C2539" w:rsidR="0006306D">
        <w:rPr>
          <w:rFonts w:ascii="Verdana" w:hAnsi="Verdana"/>
          <w:i/>
          <w:iCs/>
          <w:sz w:val="22"/>
          <w:szCs w:val="22"/>
        </w:rPr>
        <w:t xml:space="preserve"> 17</w:t>
      </w:r>
      <w:r w:rsidRPr="007C2539">
        <w:rPr>
          <w:rFonts w:ascii="Verdana" w:hAnsi="Verdana"/>
          <w:i/>
          <w:iCs/>
          <w:sz w:val="22"/>
          <w:szCs w:val="22"/>
        </w:rPr>
        <w:t xml:space="preserve">. </w:t>
      </w:r>
    </w:p>
    <w:p w:rsidRPr="007C2539" w:rsidR="0052768E" w:rsidP="006D3808" w:rsidRDefault="0052768E" w14:paraId="6759B8C7" w14:textId="77777777">
      <w:pPr>
        <w:jc w:val="both"/>
        <w:rPr>
          <w:rFonts w:ascii="Verdana" w:hAnsi="Verdana"/>
          <w:i/>
          <w:iCs/>
          <w:sz w:val="22"/>
          <w:szCs w:val="22"/>
        </w:rPr>
      </w:pPr>
    </w:p>
    <w:p w:rsidRPr="007C2539" w:rsidR="006D3808" w:rsidP="0006306D" w:rsidRDefault="007C2539" w14:paraId="52C0E1CF" w14:textId="7FE53B1C">
      <w:pPr>
        <w:pStyle w:val="Descripcin"/>
        <w:jc w:val="center"/>
        <w:rPr>
          <w:rFonts w:ascii="Verdana" w:hAnsi="Verdana"/>
          <w:sz w:val="18"/>
          <w:szCs w:val="18"/>
        </w:rPr>
      </w:pPr>
      <w:bookmarkStart w:name="_Toc234617648" w:id="92"/>
      <w:bookmarkStart w:name="_Toc234617756" w:id="93"/>
      <w:bookmarkStart w:name="_Toc234617954" w:id="94"/>
      <w:bookmarkStart w:name="_Toc234618854" w:id="95"/>
      <w:r w:rsidRPr="007C2539">
        <w:rPr>
          <w:rFonts w:ascii="Verdana" w:hAnsi="Verdana"/>
          <w:sz w:val="18"/>
          <w:szCs w:val="18"/>
        </w:rPr>
        <w:t xml:space="preserve">ILUSTRACIÓN </w:t>
      </w:r>
      <w:r w:rsidRPr="007C2539" w:rsidR="0006306D">
        <w:rPr>
          <w:rFonts w:ascii="Verdana" w:hAnsi="Verdana"/>
          <w:sz w:val="18"/>
          <w:szCs w:val="18"/>
        </w:rPr>
        <w:fldChar w:fldCharType="begin"/>
      </w:r>
      <w:r w:rsidRPr="007C2539" w:rsidR="0006306D">
        <w:rPr>
          <w:rFonts w:ascii="Verdana" w:hAnsi="Verdana"/>
          <w:sz w:val="18"/>
          <w:szCs w:val="18"/>
        </w:rPr>
        <w:instrText xml:space="preserve"> SEQ Ilustración \* ARABIC </w:instrText>
      </w:r>
      <w:r w:rsidRPr="007C2539" w:rsidR="0006306D">
        <w:rPr>
          <w:rFonts w:ascii="Verdana" w:hAnsi="Verdana"/>
          <w:sz w:val="18"/>
          <w:szCs w:val="18"/>
        </w:rPr>
        <w:fldChar w:fldCharType="separate"/>
      </w:r>
      <w:r w:rsidRPr="007C2539">
        <w:rPr>
          <w:rFonts w:ascii="Verdana" w:hAnsi="Verdana"/>
          <w:noProof/>
          <w:sz w:val="18"/>
          <w:szCs w:val="18"/>
        </w:rPr>
        <w:t>17</w:t>
      </w:r>
      <w:r w:rsidRPr="007C2539" w:rsidR="0006306D">
        <w:rPr>
          <w:rFonts w:ascii="Verdana" w:hAnsi="Verdana"/>
          <w:sz w:val="18"/>
          <w:szCs w:val="18"/>
        </w:rPr>
        <w:fldChar w:fldCharType="end"/>
      </w:r>
      <w:r w:rsidRPr="007C2539">
        <w:rPr>
          <w:rFonts w:ascii="Verdana" w:hAnsi="Verdana"/>
          <w:sz w:val="18"/>
          <w:szCs w:val="18"/>
        </w:rPr>
        <w:t>. COMPONENTE DE INCENTIVOS, FASE DE CONCERTACIÓN</w:t>
      </w:r>
      <w:bookmarkEnd w:id="92"/>
      <w:bookmarkEnd w:id="93"/>
      <w:bookmarkEnd w:id="94"/>
      <w:bookmarkEnd w:id="95"/>
    </w:p>
    <w:p w:rsidR="006D3808" w:rsidP="006D3808" w:rsidRDefault="006D3808" w14:paraId="67FEB963" w14:textId="05BCAE5B">
      <w:pPr>
        <w:jc w:val="both"/>
        <w:rPr>
          <w:rFonts w:ascii="Verdana" w:hAnsi="Verdana"/>
          <w:sz w:val="22"/>
          <w:szCs w:val="22"/>
        </w:rPr>
      </w:pPr>
      <w:r>
        <w:rPr>
          <w:noProof/>
        </w:rPr>
        <w:drawing>
          <wp:inline distT="0" distB="0" distL="0" distR="0" wp14:anchorId="170FF8B2" wp14:editId="7F99EA52">
            <wp:extent cx="5612130" cy="2038350"/>
            <wp:effectExtent l="0" t="0" r="7620" b="0"/>
            <wp:docPr id="152209308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2130" cy="2038350"/>
                    </a:xfrm>
                    <a:prstGeom prst="rect">
                      <a:avLst/>
                    </a:prstGeom>
                    <a:noFill/>
                  </pic:spPr>
                </pic:pic>
              </a:graphicData>
            </a:graphic>
          </wp:inline>
        </w:drawing>
      </w:r>
    </w:p>
    <w:p w:rsidRPr="007C2539" w:rsidR="0006306D" w:rsidP="0006306D" w:rsidRDefault="0006306D" w14:paraId="327990E2" w14:textId="6B2ED4D1">
      <w:pPr>
        <w:jc w:val="center"/>
        <w:rPr>
          <w:rFonts w:ascii="Verdana" w:hAnsi="Verdana"/>
          <w:i/>
          <w:iCs/>
          <w:sz w:val="18"/>
          <w:szCs w:val="18"/>
        </w:rPr>
      </w:pPr>
      <w:r w:rsidRPr="007C2539">
        <w:rPr>
          <w:rFonts w:ascii="Verdana" w:hAnsi="Verdana"/>
          <w:i/>
          <w:iCs/>
          <w:sz w:val="18"/>
          <w:szCs w:val="18"/>
        </w:rPr>
        <w:t>Fuente: MADS, 2026</w:t>
      </w:r>
    </w:p>
    <w:p w:rsidR="006D3808" w:rsidP="006D3808" w:rsidRDefault="006D3808" w14:paraId="685AE70E" w14:textId="7BECAE15">
      <w:pPr>
        <w:jc w:val="both"/>
        <w:rPr>
          <w:rFonts w:ascii="Verdana" w:hAnsi="Verdana"/>
          <w:sz w:val="22"/>
          <w:szCs w:val="22"/>
        </w:rPr>
      </w:pPr>
      <w:r w:rsidRPr="006D3808">
        <w:rPr>
          <w:rFonts w:ascii="Verdana" w:hAnsi="Verdana"/>
          <w:sz w:val="22"/>
          <w:szCs w:val="22"/>
        </w:rPr>
        <w:lastRenderedPageBreak/>
        <w:t xml:space="preserve">Adicionalmente, en algunos municipios hablan de incentivos educativos para los jóvenes del territorio; aunque estos no son incentivos sobre los que pueda incidir </w:t>
      </w:r>
      <w:r w:rsidR="0006306D">
        <w:rPr>
          <w:rFonts w:ascii="Verdana" w:hAnsi="Verdana"/>
          <w:sz w:val="22"/>
          <w:szCs w:val="22"/>
        </w:rPr>
        <w:t>MADS</w:t>
      </w:r>
      <w:r w:rsidRPr="006D3808">
        <w:rPr>
          <w:rFonts w:ascii="Verdana" w:hAnsi="Verdana"/>
          <w:sz w:val="22"/>
          <w:szCs w:val="22"/>
        </w:rPr>
        <w:t>; se pueden llevar a la instancia de coordinación en la que se pueden invitar otros sectores para lograr la atención integral a las comunidades de estos municipios.</w:t>
      </w:r>
    </w:p>
    <w:p w:rsidR="00C75E01" w:rsidP="006D3808" w:rsidRDefault="00C75E01" w14:paraId="41DF51F1" w14:textId="77777777">
      <w:pPr>
        <w:jc w:val="both"/>
        <w:rPr>
          <w:rFonts w:ascii="Verdana" w:hAnsi="Verdana"/>
          <w:sz w:val="22"/>
          <w:szCs w:val="22"/>
        </w:rPr>
      </w:pPr>
    </w:p>
    <w:p w:rsidR="00583698" w:rsidP="00C75E01" w:rsidRDefault="00583698" w14:paraId="2844EBEE" w14:textId="2F575D33">
      <w:pPr>
        <w:pStyle w:val="Estilo5"/>
      </w:pPr>
      <w:r w:rsidRPr="0006306D">
        <w:t xml:space="preserve">Componente </w:t>
      </w:r>
      <w:r w:rsidRPr="0006306D" w:rsidR="00CE6005">
        <w:t>Mecanismo Financiero</w:t>
      </w:r>
    </w:p>
    <w:p w:rsidRPr="00C75E01" w:rsidR="00C75E01" w:rsidP="00C75E01" w:rsidRDefault="00C75E01" w14:paraId="459F2E6A" w14:textId="77777777">
      <w:pPr>
        <w:pStyle w:val="Ttulo3"/>
      </w:pPr>
    </w:p>
    <w:p w:rsidRPr="0006306D" w:rsidR="0006306D" w:rsidP="0006306D" w:rsidRDefault="0006306D" w14:paraId="78789001" w14:textId="72527220">
      <w:pPr>
        <w:jc w:val="both"/>
        <w:rPr>
          <w:rFonts w:ascii="Verdana" w:hAnsi="Verdana"/>
          <w:sz w:val="22"/>
          <w:szCs w:val="22"/>
        </w:rPr>
      </w:pPr>
      <w:r w:rsidRPr="0006306D">
        <w:rPr>
          <w:rFonts w:ascii="Verdana" w:hAnsi="Verdana"/>
          <w:sz w:val="22"/>
          <w:szCs w:val="22"/>
        </w:rPr>
        <w:t xml:space="preserve">Con respecto al mecanismo financiero, como se observa en la </w:t>
      </w:r>
      <w:r w:rsidRPr="00F41483">
        <w:rPr>
          <w:rFonts w:ascii="Verdana" w:hAnsi="Verdana"/>
          <w:i/>
          <w:iCs/>
          <w:sz w:val="22"/>
          <w:szCs w:val="22"/>
        </w:rPr>
        <w:t>tabla</w:t>
      </w:r>
      <w:r w:rsidRPr="00F41483" w:rsidR="00F41483">
        <w:rPr>
          <w:rFonts w:ascii="Verdana" w:hAnsi="Verdana"/>
          <w:i/>
          <w:iCs/>
          <w:sz w:val="22"/>
          <w:szCs w:val="22"/>
        </w:rPr>
        <w:t xml:space="preserve"> 3</w:t>
      </w:r>
      <w:r w:rsidRPr="00F41483">
        <w:rPr>
          <w:rFonts w:ascii="Verdana" w:hAnsi="Verdana"/>
          <w:i/>
          <w:iCs/>
          <w:sz w:val="22"/>
          <w:szCs w:val="22"/>
        </w:rPr>
        <w:t>,</w:t>
      </w:r>
      <w:r w:rsidRPr="0006306D">
        <w:rPr>
          <w:rFonts w:ascii="Verdana" w:hAnsi="Verdana"/>
          <w:sz w:val="22"/>
          <w:szCs w:val="22"/>
        </w:rPr>
        <w:t xml:space="preserve"> en términos generales, las comunidades prefieren un Fondo ya establecido, como </w:t>
      </w:r>
      <w:proofErr w:type="spellStart"/>
      <w:r w:rsidRPr="0006306D">
        <w:rPr>
          <w:rFonts w:ascii="Verdana" w:hAnsi="Verdana"/>
          <w:sz w:val="22"/>
          <w:szCs w:val="22"/>
        </w:rPr>
        <w:t>Biocuenca</w:t>
      </w:r>
      <w:proofErr w:type="spellEnd"/>
      <w:r w:rsidRPr="0006306D">
        <w:rPr>
          <w:rFonts w:ascii="Verdana" w:hAnsi="Verdana"/>
          <w:sz w:val="22"/>
          <w:szCs w:val="22"/>
        </w:rPr>
        <w:t xml:space="preserve"> o el Fondo para la Vida (que antes se denominaba </w:t>
      </w:r>
      <w:proofErr w:type="spellStart"/>
      <w:r w:rsidRPr="0006306D">
        <w:rPr>
          <w:rFonts w:ascii="Verdana" w:hAnsi="Verdana"/>
          <w:sz w:val="22"/>
          <w:szCs w:val="22"/>
        </w:rPr>
        <w:t>Fonsurec</w:t>
      </w:r>
      <w:proofErr w:type="spellEnd"/>
      <w:r w:rsidRPr="0006306D">
        <w:rPr>
          <w:rFonts w:ascii="Verdana" w:hAnsi="Verdana"/>
          <w:sz w:val="22"/>
          <w:szCs w:val="22"/>
        </w:rPr>
        <w:t>) o un mecanismo mixto que permita la ejecución directa por parte de las entidades.</w:t>
      </w:r>
    </w:p>
    <w:p w:rsidR="0006306D" w:rsidP="0006306D" w:rsidRDefault="0006306D" w14:paraId="44397046" w14:textId="5FF133E1">
      <w:pPr>
        <w:jc w:val="both"/>
        <w:rPr>
          <w:rFonts w:ascii="Verdana" w:hAnsi="Verdana"/>
          <w:sz w:val="22"/>
          <w:szCs w:val="22"/>
        </w:rPr>
      </w:pPr>
      <w:r w:rsidRPr="0006306D">
        <w:rPr>
          <w:rFonts w:ascii="Verdana" w:hAnsi="Verdana"/>
          <w:sz w:val="22"/>
          <w:szCs w:val="22"/>
        </w:rPr>
        <w:t xml:space="preserve">El Fondo para la vida garantiza una financiación estable derivada del impuesto al carbono y la incidencia directa de </w:t>
      </w:r>
      <w:r w:rsidR="00E55E6D">
        <w:rPr>
          <w:rFonts w:ascii="Verdana" w:hAnsi="Verdana"/>
          <w:sz w:val="22"/>
          <w:szCs w:val="22"/>
        </w:rPr>
        <w:t>MADS</w:t>
      </w:r>
      <w:r w:rsidRPr="0006306D">
        <w:rPr>
          <w:rFonts w:ascii="Verdana" w:hAnsi="Verdana"/>
          <w:sz w:val="22"/>
          <w:szCs w:val="22"/>
        </w:rPr>
        <w:t>; así como la participación de las comunidades; por lo cual puede ser el más adecuado.</w:t>
      </w:r>
    </w:p>
    <w:p w:rsidRPr="0006306D" w:rsidR="00F41483" w:rsidP="0006306D" w:rsidRDefault="00F41483" w14:paraId="43601B20" w14:textId="77777777">
      <w:pPr>
        <w:jc w:val="both"/>
        <w:rPr>
          <w:rFonts w:ascii="Verdana" w:hAnsi="Verdana"/>
          <w:sz w:val="22"/>
          <w:szCs w:val="22"/>
        </w:rPr>
      </w:pPr>
    </w:p>
    <w:p w:rsidRPr="00F41483" w:rsidR="001F7CED" w:rsidP="00E55E6D" w:rsidRDefault="00F41483" w14:paraId="2EA59F83" w14:textId="661385E4">
      <w:pPr>
        <w:pStyle w:val="Descripcin"/>
        <w:jc w:val="center"/>
        <w:rPr>
          <w:rFonts w:ascii="Verdana" w:hAnsi="Verdana"/>
          <w:sz w:val="18"/>
          <w:szCs w:val="18"/>
        </w:rPr>
      </w:pPr>
      <w:bookmarkStart w:name="_Toc234617448" w:id="96"/>
      <w:bookmarkStart w:name="_Toc234619052" w:id="97"/>
      <w:r w:rsidRPr="00F41483">
        <w:rPr>
          <w:rFonts w:ascii="Verdana" w:hAnsi="Verdana"/>
          <w:sz w:val="18"/>
          <w:szCs w:val="18"/>
        </w:rPr>
        <w:t xml:space="preserve">TABLA </w:t>
      </w:r>
      <w:r w:rsidRPr="00F41483" w:rsidR="00E55E6D">
        <w:rPr>
          <w:rFonts w:ascii="Verdana" w:hAnsi="Verdana"/>
          <w:sz w:val="18"/>
          <w:szCs w:val="18"/>
        </w:rPr>
        <w:fldChar w:fldCharType="begin"/>
      </w:r>
      <w:r w:rsidRPr="00F41483" w:rsidR="00E55E6D">
        <w:rPr>
          <w:rFonts w:ascii="Verdana" w:hAnsi="Verdana"/>
          <w:sz w:val="18"/>
          <w:szCs w:val="18"/>
        </w:rPr>
        <w:instrText xml:space="preserve"> SEQ Tabla \* ARABIC </w:instrText>
      </w:r>
      <w:r w:rsidRPr="00F41483" w:rsidR="00E55E6D">
        <w:rPr>
          <w:rFonts w:ascii="Verdana" w:hAnsi="Verdana"/>
          <w:sz w:val="18"/>
          <w:szCs w:val="18"/>
        </w:rPr>
        <w:fldChar w:fldCharType="separate"/>
      </w:r>
      <w:r w:rsidRPr="00F41483">
        <w:rPr>
          <w:rFonts w:ascii="Verdana" w:hAnsi="Verdana"/>
          <w:noProof/>
          <w:sz w:val="18"/>
          <w:szCs w:val="18"/>
        </w:rPr>
        <w:t>3</w:t>
      </w:r>
      <w:r w:rsidRPr="00F41483" w:rsidR="00E55E6D">
        <w:rPr>
          <w:rFonts w:ascii="Verdana" w:hAnsi="Verdana"/>
          <w:sz w:val="18"/>
          <w:szCs w:val="18"/>
        </w:rPr>
        <w:fldChar w:fldCharType="end"/>
      </w:r>
      <w:r w:rsidRPr="00F41483">
        <w:rPr>
          <w:rFonts w:ascii="Verdana" w:hAnsi="Verdana"/>
          <w:sz w:val="18"/>
          <w:szCs w:val="18"/>
        </w:rPr>
        <w:t>. ANÁLISIS MECANISMO FINANCIERO</w:t>
      </w:r>
      <w:bookmarkEnd w:id="96"/>
      <w:bookmarkEnd w:id="97"/>
    </w:p>
    <w:tbl>
      <w:tblPr>
        <w:tblStyle w:val="Tablanormal21"/>
        <w:tblW w:w="0" w:type="auto"/>
        <w:tblLook w:val="04A0" w:firstRow="1" w:lastRow="0" w:firstColumn="1" w:lastColumn="0" w:noHBand="0" w:noVBand="1"/>
      </w:tblPr>
      <w:tblGrid>
        <w:gridCol w:w="4414"/>
        <w:gridCol w:w="4414"/>
      </w:tblGrid>
      <w:tr w:rsidR="002D2222" w:rsidTr="00E55E6D" w14:paraId="37175CA9"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Pr>
          <w:p w:rsidRPr="00E600AC" w:rsidR="002D2222" w:rsidP="00E55E6D" w:rsidRDefault="002D2222" w14:paraId="56E0FBD5" w14:textId="09EBE982">
            <w:pPr>
              <w:jc w:val="center"/>
              <w:rPr>
                <w:rFonts w:ascii="Verdana" w:hAnsi="Verdana"/>
                <w:b w:val="0"/>
                <w:bCs w:val="0"/>
                <w:sz w:val="22"/>
                <w:szCs w:val="22"/>
              </w:rPr>
            </w:pPr>
            <w:r w:rsidRPr="00E600AC">
              <w:rPr>
                <w:rFonts w:ascii="Verdana" w:hAnsi="Verdana"/>
                <w:sz w:val="22"/>
                <w:szCs w:val="22"/>
              </w:rPr>
              <w:t>Mecanismo Financiero</w:t>
            </w:r>
          </w:p>
        </w:tc>
        <w:tc>
          <w:tcPr>
            <w:tcW w:w="4414" w:type="dxa"/>
          </w:tcPr>
          <w:p w:rsidRPr="00E600AC" w:rsidR="002D2222" w:rsidP="00E55E6D" w:rsidRDefault="002D2222" w14:paraId="102A053B" w14:textId="788C2BD1">
            <w:pPr>
              <w:jc w:val="center"/>
              <w:cnfStyle w:val="100000000000" w:firstRow="1" w:lastRow="0" w:firstColumn="0" w:lastColumn="0" w:oddVBand="0" w:evenVBand="0" w:oddHBand="0" w:evenHBand="0" w:firstRowFirstColumn="0" w:firstRowLastColumn="0" w:lastRowFirstColumn="0" w:lastRowLastColumn="0"/>
              <w:rPr>
                <w:rFonts w:ascii="Verdana" w:hAnsi="Verdana"/>
                <w:b w:val="0"/>
                <w:bCs w:val="0"/>
                <w:sz w:val="22"/>
                <w:szCs w:val="22"/>
              </w:rPr>
            </w:pPr>
            <w:r w:rsidRPr="00E600AC">
              <w:rPr>
                <w:rFonts w:ascii="Verdana" w:hAnsi="Verdana"/>
                <w:sz w:val="22"/>
                <w:szCs w:val="22"/>
              </w:rPr>
              <w:t>Numero de Municipios Santander y Norte de Santander</w:t>
            </w:r>
          </w:p>
        </w:tc>
      </w:tr>
      <w:tr w:rsidR="002D2222" w:rsidTr="00E55E6D" w14:paraId="42A7B36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Pr>
          <w:p w:rsidR="002D2222" w:rsidP="00E55E6D" w:rsidRDefault="002D2222" w14:paraId="0C49809D" w14:textId="64DE9754">
            <w:pPr>
              <w:jc w:val="center"/>
              <w:rPr>
                <w:rFonts w:ascii="Verdana" w:hAnsi="Verdana"/>
                <w:sz w:val="22"/>
                <w:szCs w:val="22"/>
              </w:rPr>
            </w:pPr>
            <w:r>
              <w:rPr>
                <w:rFonts w:ascii="Verdana" w:hAnsi="Verdana"/>
                <w:sz w:val="22"/>
                <w:szCs w:val="22"/>
              </w:rPr>
              <w:t>Fondo para la vida</w:t>
            </w:r>
            <w:r w:rsidR="00583698">
              <w:rPr>
                <w:rFonts w:ascii="Verdana" w:hAnsi="Verdana"/>
                <w:sz w:val="22"/>
                <w:szCs w:val="22"/>
              </w:rPr>
              <w:t xml:space="preserve">, </w:t>
            </w:r>
            <w:r>
              <w:rPr>
                <w:rFonts w:ascii="Verdana" w:hAnsi="Verdana"/>
                <w:sz w:val="22"/>
                <w:szCs w:val="22"/>
              </w:rPr>
              <w:t>Subcuen</w:t>
            </w:r>
            <w:r w:rsidR="006D3808">
              <w:rPr>
                <w:rFonts w:ascii="Verdana" w:hAnsi="Verdana"/>
                <w:sz w:val="22"/>
                <w:szCs w:val="22"/>
              </w:rPr>
              <w:t>t</w:t>
            </w:r>
            <w:r>
              <w:rPr>
                <w:rFonts w:ascii="Verdana" w:hAnsi="Verdana"/>
                <w:sz w:val="22"/>
                <w:szCs w:val="22"/>
              </w:rPr>
              <w:t>a Santurbán con destinación especificada para el Departamento de Santander y Norte de Santander</w:t>
            </w:r>
          </w:p>
        </w:tc>
        <w:tc>
          <w:tcPr>
            <w:tcW w:w="4414" w:type="dxa"/>
          </w:tcPr>
          <w:p w:rsidR="002D2222" w:rsidP="00E55E6D" w:rsidRDefault="002D2222" w14:paraId="7AD7C4D9" w14:textId="7DA46151">
            <w:pPr>
              <w:jc w:val="center"/>
              <w:cnfStyle w:val="000000100000" w:firstRow="0" w:lastRow="0" w:firstColumn="0" w:lastColumn="0" w:oddVBand="0" w:evenVBand="0" w:oddHBand="1" w:evenHBand="0" w:firstRowFirstColumn="0" w:firstRowLastColumn="0" w:lastRowFirstColumn="0" w:lastRowLastColumn="0"/>
              <w:rPr>
                <w:rFonts w:ascii="Verdana" w:hAnsi="Verdana"/>
                <w:sz w:val="22"/>
                <w:szCs w:val="22"/>
              </w:rPr>
            </w:pPr>
            <w:r>
              <w:rPr>
                <w:rFonts w:ascii="Verdana" w:hAnsi="Verdana"/>
                <w:sz w:val="22"/>
                <w:szCs w:val="22"/>
              </w:rPr>
              <w:t>5</w:t>
            </w:r>
          </w:p>
        </w:tc>
      </w:tr>
      <w:tr w:rsidR="002D2222" w:rsidTr="00E55E6D" w14:paraId="23126192" w14:textId="77777777">
        <w:tc>
          <w:tcPr>
            <w:cnfStyle w:val="001000000000" w:firstRow="0" w:lastRow="0" w:firstColumn="1" w:lastColumn="0" w:oddVBand="0" w:evenVBand="0" w:oddHBand="0" w:evenHBand="0" w:firstRowFirstColumn="0" w:firstRowLastColumn="0" w:lastRowFirstColumn="0" w:lastRowLastColumn="0"/>
            <w:tcW w:w="4414" w:type="dxa"/>
          </w:tcPr>
          <w:p w:rsidR="002D2222" w:rsidP="00E55E6D" w:rsidRDefault="002D2222" w14:paraId="369AC9A4" w14:textId="6008E88E">
            <w:pPr>
              <w:jc w:val="center"/>
              <w:rPr>
                <w:rFonts w:ascii="Verdana" w:hAnsi="Verdana"/>
                <w:sz w:val="22"/>
                <w:szCs w:val="22"/>
              </w:rPr>
            </w:pPr>
            <w:r w:rsidRPr="002D2222">
              <w:rPr>
                <w:rFonts w:ascii="Verdana" w:hAnsi="Verdana"/>
                <w:sz w:val="22"/>
                <w:szCs w:val="22"/>
              </w:rPr>
              <w:t xml:space="preserve">FONSUREC </w:t>
            </w:r>
            <w:r w:rsidR="006D3808">
              <w:rPr>
                <w:rFonts w:ascii="Verdana" w:hAnsi="Verdana"/>
                <w:sz w:val="22"/>
                <w:szCs w:val="22"/>
              </w:rPr>
              <w:t>(</w:t>
            </w:r>
            <w:r w:rsidRPr="002D2222">
              <w:rPr>
                <w:rFonts w:ascii="Verdana" w:hAnsi="Verdana"/>
                <w:sz w:val="22"/>
                <w:szCs w:val="22"/>
              </w:rPr>
              <w:t>Fondo para la Vida de conformidad con la visión y sustento comunitario</w:t>
            </w:r>
            <w:r w:rsidR="006D3808">
              <w:rPr>
                <w:rFonts w:ascii="Verdana" w:hAnsi="Verdana"/>
                <w:sz w:val="22"/>
                <w:szCs w:val="22"/>
              </w:rPr>
              <w:t>)</w:t>
            </w:r>
          </w:p>
        </w:tc>
        <w:tc>
          <w:tcPr>
            <w:tcW w:w="4414" w:type="dxa"/>
          </w:tcPr>
          <w:p w:rsidR="002D2222" w:rsidP="00E55E6D" w:rsidRDefault="002D2222" w14:paraId="6B367423" w14:textId="7793D6CD">
            <w:pPr>
              <w:jc w:val="center"/>
              <w:cnfStyle w:val="000000000000" w:firstRow="0" w:lastRow="0" w:firstColumn="0" w:lastColumn="0" w:oddVBand="0" w:evenVBand="0" w:oddHBand="0" w:evenHBand="0" w:firstRowFirstColumn="0" w:firstRowLastColumn="0" w:lastRowFirstColumn="0" w:lastRowLastColumn="0"/>
              <w:rPr>
                <w:rFonts w:ascii="Verdana" w:hAnsi="Verdana"/>
                <w:sz w:val="22"/>
                <w:szCs w:val="22"/>
              </w:rPr>
            </w:pPr>
            <w:r>
              <w:rPr>
                <w:rFonts w:ascii="Verdana" w:hAnsi="Verdana"/>
                <w:sz w:val="22"/>
                <w:szCs w:val="22"/>
              </w:rPr>
              <w:t>2</w:t>
            </w:r>
          </w:p>
        </w:tc>
      </w:tr>
      <w:tr w:rsidR="002D2222" w:rsidTr="00E55E6D" w14:paraId="031061C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Pr>
          <w:p w:rsidRPr="002D2222" w:rsidR="002D2222" w:rsidP="00E55E6D" w:rsidRDefault="00583698" w14:paraId="644C1ED7" w14:textId="33B258FB">
            <w:pPr>
              <w:jc w:val="center"/>
              <w:rPr>
                <w:rFonts w:ascii="Verdana" w:hAnsi="Verdana"/>
                <w:sz w:val="22"/>
                <w:szCs w:val="22"/>
              </w:rPr>
            </w:pPr>
            <w:r>
              <w:rPr>
                <w:rFonts w:ascii="Verdana" w:hAnsi="Verdana"/>
                <w:sz w:val="22"/>
                <w:szCs w:val="22"/>
              </w:rPr>
              <w:t>Cualquier Mecanismo Financiero (Fácil y Flexible)</w:t>
            </w:r>
          </w:p>
        </w:tc>
        <w:tc>
          <w:tcPr>
            <w:tcW w:w="4414" w:type="dxa"/>
          </w:tcPr>
          <w:p w:rsidR="002D2222" w:rsidP="00E55E6D" w:rsidRDefault="00E600AC" w14:paraId="57481311" w14:textId="34E4B904">
            <w:pPr>
              <w:jc w:val="center"/>
              <w:cnfStyle w:val="000000100000" w:firstRow="0" w:lastRow="0" w:firstColumn="0" w:lastColumn="0" w:oddVBand="0" w:evenVBand="0" w:oddHBand="1" w:evenHBand="0" w:firstRowFirstColumn="0" w:firstRowLastColumn="0" w:lastRowFirstColumn="0" w:lastRowLastColumn="0"/>
              <w:rPr>
                <w:rFonts w:ascii="Verdana" w:hAnsi="Verdana"/>
                <w:sz w:val="22"/>
                <w:szCs w:val="22"/>
              </w:rPr>
            </w:pPr>
            <w:r>
              <w:rPr>
                <w:rFonts w:ascii="Verdana" w:hAnsi="Verdana"/>
                <w:sz w:val="22"/>
                <w:szCs w:val="22"/>
              </w:rPr>
              <w:t>15</w:t>
            </w:r>
          </w:p>
        </w:tc>
      </w:tr>
      <w:tr w:rsidR="002D2222" w:rsidTr="00E55E6D" w14:paraId="59586ACC" w14:textId="77777777">
        <w:tc>
          <w:tcPr>
            <w:cnfStyle w:val="001000000000" w:firstRow="0" w:lastRow="0" w:firstColumn="1" w:lastColumn="0" w:oddVBand="0" w:evenVBand="0" w:oddHBand="0" w:evenHBand="0" w:firstRowFirstColumn="0" w:firstRowLastColumn="0" w:lastRowFirstColumn="0" w:lastRowLastColumn="0"/>
            <w:tcW w:w="4414" w:type="dxa"/>
          </w:tcPr>
          <w:p w:rsidR="002D2222" w:rsidP="00E55E6D" w:rsidRDefault="002D2222" w14:paraId="710C8243" w14:textId="05D43088">
            <w:pPr>
              <w:jc w:val="center"/>
              <w:rPr>
                <w:rFonts w:ascii="Verdana" w:hAnsi="Verdana"/>
                <w:sz w:val="22"/>
                <w:szCs w:val="22"/>
              </w:rPr>
            </w:pPr>
            <w:r>
              <w:rPr>
                <w:rFonts w:ascii="Verdana" w:hAnsi="Verdana"/>
                <w:sz w:val="22"/>
                <w:szCs w:val="22"/>
              </w:rPr>
              <w:t>Fondo de agua</w:t>
            </w:r>
          </w:p>
        </w:tc>
        <w:tc>
          <w:tcPr>
            <w:tcW w:w="4414" w:type="dxa"/>
          </w:tcPr>
          <w:p w:rsidR="002D2222" w:rsidP="00E55E6D" w:rsidRDefault="002D2222" w14:paraId="07EE3AF5" w14:textId="3BF5162E">
            <w:pPr>
              <w:jc w:val="center"/>
              <w:cnfStyle w:val="000000000000" w:firstRow="0" w:lastRow="0" w:firstColumn="0" w:lastColumn="0" w:oddVBand="0" w:evenVBand="0" w:oddHBand="0" w:evenHBand="0" w:firstRowFirstColumn="0" w:firstRowLastColumn="0" w:lastRowFirstColumn="0" w:lastRowLastColumn="0"/>
              <w:rPr>
                <w:rFonts w:ascii="Verdana" w:hAnsi="Verdana"/>
                <w:sz w:val="22"/>
                <w:szCs w:val="22"/>
              </w:rPr>
            </w:pPr>
            <w:r>
              <w:rPr>
                <w:rFonts w:ascii="Verdana" w:hAnsi="Verdana"/>
                <w:sz w:val="22"/>
                <w:szCs w:val="22"/>
              </w:rPr>
              <w:t>1</w:t>
            </w:r>
          </w:p>
        </w:tc>
      </w:tr>
      <w:tr w:rsidR="002D2222" w:rsidTr="00E55E6D" w14:paraId="5C50419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Pr>
          <w:p w:rsidR="002D2222" w:rsidP="00E55E6D" w:rsidRDefault="00E55E6D" w14:paraId="71E77FAE" w14:textId="404F847A">
            <w:pPr>
              <w:jc w:val="center"/>
              <w:rPr>
                <w:rFonts w:ascii="Verdana" w:hAnsi="Verdana"/>
                <w:sz w:val="22"/>
                <w:szCs w:val="22"/>
              </w:rPr>
            </w:pPr>
            <w:r>
              <w:rPr>
                <w:rFonts w:ascii="Verdana" w:hAnsi="Verdana"/>
                <w:sz w:val="22"/>
                <w:szCs w:val="22"/>
              </w:rPr>
              <w:t>Desa</w:t>
            </w:r>
            <w:r w:rsidR="002D2222">
              <w:rPr>
                <w:rFonts w:ascii="Verdana" w:hAnsi="Verdana"/>
                <w:sz w:val="22"/>
                <w:szCs w:val="22"/>
              </w:rPr>
              <w:t>cuerdo con del Modelo Financiero</w:t>
            </w:r>
          </w:p>
        </w:tc>
        <w:tc>
          <w:tcPr>
            <w:tcW w:w="4414" w:type="dxa"/>
          </w:tcPr>
          <w:p w:rsidR="002D2222" w:rsidP="00E55E6D" w:rsidRDefault="002D2222" w14:paraId="591A2D7F" w14:textId="70F64869">
            <w:pPr>
              <w:jc w:val="center"/>
              <w:cnfStyle w:val="000000100000" w:firstRow="0" w:lastRow="0" w:firstColumn="0" w:lastColumn="0" w:oddVBand="0" w:evenVBand="0" w:oddHBand="1" w:evenHBand="0" w:firstRowFirstColumn="0" w:firstRowLastColumn="0" w:lastRowFirstColumn="0" w:lastRowLastColumn="0"/>
              <w:rPr>
                <w:rFonts w:ascii="Verdana" w:hAnsi="Verdana"/>
                <w:sz w:val="22"/>
                <w:szCs w:val="22"/>
              </w:rPr>
            </w:pPr>
            <w:r>
              <w:rPr>
                <w:rFonts w:ascii="Verdana" w:hAnsi="Verdana"/>
                <w:sz w:val="22"/>
                <w:szCs w:val="22"/>
              </w:rPr>
              <w:t>1</w:t>
            </w:r>
          </w:p>
        </w:tc>
      </w:tr>
      <w:tr w:rsidR="002D2222" w:rsidTr="00E55E6D" w14:paraId="59B25FFD" w14:textId="77777777">
        <w:tc>
          <w:tcPr>
            <w:cnfStyle w:val="001000000000" w:firstRow="0" w:lastRow="0" w:firstColumn="1" w:lastColumn="0" w:oddVBand="0" w:evenVBand="0" w:oddHBand="0" w:evenHBand="0" w:firstRowFirstColumn="0" w:firstRowLastColumn="0" w:lastRowFirstColumn="0" w:lastRowLastColumn="0"/>
            <w:tcW w:w="4414" w:type="dxa"/>
          </w:tcPr>
          <w:p w:rsidR="002D2222" w:rsidP="00E55E6D" w:rsidRDefault="002D2222" w14:paraId="42CCDB6C" w14:textId="5082598D">
            <w:pPr>
              <w:jc w:val="center"/>
              <w:rPr>
                <w:rFonts w:ascii="Verdana" w:hAnsi="Verdana"/>
                <w:sz w:val="22"/>
                <w:szCs w:val="22"/>
              </w:rPr>
            </w:pPr>
            <w:r>
              <w:rPr>
                <w:rFonts w:ascii="Verdana" w:hAnsi="Verdana"/>
                <w:sz w:val="22"/>
                <w:szCs w:val="22"/>
              </w:rPr>
              <w:t xml:space="preserve">No se </w:t>
            </w:r>
            <w:r w:rsidR="00E600AC">
              <w:rPr>
                <w:rFonts w:ascii="Verdana" w:hAnsi="Verdana"/>
                <w:sz w:val="22"/>
                <w:szCs w:val="22"/>
              </w:rPr>
              <w:t>llegó</w:t>
            </w:r>
            <w:r>
              <w:rPr>
                <w:rFonts w:ascii="Verdana" w:hAnsi="Verdana"/>
                <w:sz w:val="22"/>
                <w:szCs w:val="22"/>
              </w:rPr>
              <w:t xml:space="preserve"> a consensos razonados</w:t>
            </w:r>
            <w:r w:rsidR="00583698">
              <w:rPr>
                <w:rFonts w:ascii="Verdana" w:hAnsi="Verdana"/>
                <w:sz w:val="22"/>
                <w:szCs w:val="22"/>
              </w:rPr>
              <w:t xml:space="preserve"> sobre el ineludible</w:t>
            </w:r>
          </w:p>
        </w:tc>
        <w:tc>
          <w:tcPr>
            <w:tcW w:w="4414" w:type="dxa"/>
          </w:tcPr>
          <w:p w:rsidR="002D2222" w:rsidP="00E55E6D" w:rsidRDefault="002D2222" w14:paraId="480A9992" w14:textId="57366312">
            <w:pPr>
              <w:jc w:val="center"/>
              <w:cnfStyle w:val="000000000000" w:firstRow="0" w:lastRow="0" w:firstColumn="0" w:lastColumn="0" w:oddVBand="0" w:evenVBand="0" w:oddHBand="0" w:evenHBand="0" w:firstRowFirstColumn="0" w:firstRowLastColumn="0" w:lastRowFirstColumn="0" w:lastRowLastColumn="0"/>
              <w:rPr>
                <w:rFonts w:ascii="Verdana" w:hAnsi="Verdana"/>
                <w:sz w:val="22"/>
                <w:szCs w:val="22"/>
              </w:rPr>
            </w:pPr>
            <w:r>
              <w:rPr>
                <w:rFonts w:ascii="Verdana" w:hAnsi="Verdana"/>
                <w:sz w:val="22"/>
                <w:szCs w:val="22"/>
              </w:rPr>
              <w:t>4</w:t>
            </w:r>
          </w:p>
        </w:tc>
      </w:tr>
      <w:tr w:rsidR="00E600AC" w:rsidTr="00E55E6D" w14:paraId="44F3096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Pr>
          <w:p w:rsidRPr="00E600AC" w:rsidR="00E600AC" w:rsidP="00E55E6D" w:rsidRDefault="00E600AC" w14:paraId="00AD1BB1" w14:textId="1C3AE203">
            <w:pPr>
              <w:jc w:val="center"/>
              <w:rPr>
                <w:rFonts w:ascii="Verdana" w:hAnsi="Verdana"/>
                <w:b w:val="0"/>
                <w:bCs w:val="0"/>
                <w:sz w:val="22"/>
                <w:szCs w:val="22"/>
              </w:rPr>
            </w:pPr>
            <w:r w:rsidRPr="00E600AC">
              <w:rPr>
                <w:rFonts w:ascii="Verdana" w:hAnsi="Verdana"/>
                <w:sz w:val="22"/>
                <w:szCs w:val="22"/>
              </w:rPr>
              <w:lastRenderedPageBreak/>
              <w:t>Total</w:t>
            </w:r>
          </w:p>
        </w:tc>
        <w:tc>
          <w:tcPr>
            <w:tcW w:w="4414" w:type="dxa"/>
          </w:tcPr>
          <w:p w:rsidRPr="00E600AC" w:rsidR="00E600AC" w:rsidP="00E55E6D" w:rsidRDefault="00E600AC" w14:paraId="0C0C0A47" w14:textId="35BA222A">
            <w:pPr>
              <w:jc w:val="center"/>
              <w:cnfStyle w:val="000000100000" w:firstRow="0" w:lastRow="0" w:firstColumn="0" w:lastColumn="0" w:oddVBand="0" w:evenVBand="0" w:oddHBand="1" w:evenHBand="0" w:firstRowFirstColumn="0" w:firstRowLastColumn="0" w:lastRowFirstColumn="0" w:lastRowLastColumn="0"/>
              <w:rPr>
                <w:rFonts w:ascii="Verdana" w:hAnsi="Verdana"/>
                <w:b/>
                <w:bCs/>
                <w:sz w:val="22"/>
                <w:szCs w:val="22"/>
              </w:rPr>
            </w:pPr>
            <w:r w:rsidRPr="00E600AC">
              <w:rPr>
                <w:rFonts w:ascii="Verdana" w:hAnsi="Verdana"/>
                <w:b/>
                <w:bCs/>
                <w:sz w:val="22"/>
                <w:szCs w:val="22"/>
              </w:rPr>
              <w:t>28</w:t>
            </w:r>
          </w:p>
        </w:tc>
      </w:tr>
    </w:tbl>
    <w:p w:rsidRPr="00F41483" w:rsidR="00E55E6D" w:rsidP="00E55E6D" w:rsidRDefault="00E55E6D" w14:paraId="3717472E" w14:textId="205D667A">
      <w:pPr>
        <w:jc w:val="center"/>
        <w:rPr>
          <w:rFonts w:ascii="Verdana" w:hAnsi="Verdana"/>
          <w:i/>
          <w:iCs/>
          <w:sz w:val="18"/>
          <w:szCs w:val="18"/>
        </w:rPr>
      </w:pPr>
      <w:r w:rsidRPr="00F41483">
        <w:rPr>
          <w:rFonts w:ascii="Verdana" w:hAnsi="Verdana"/>
          <w:i/>
          <w:iCs/>
          <w:sz w:val="18"/>
          <w:szCs w:val="18"/>
        </w:rPr>
        <w:t>Fuente: MADS, 2026</w:t>
      </w:r>
    </w:p>
    <w:p w:rsidR="00122ECD" w:rsidP="006D3808" w:rsidRDefault="006D3808" w14:paraId="44C9E17A" w14:textId="06C47DE4">
      <w:pPr>
        <w:jc w:val="both"/>
        <w:rPr>
          <w:rFonts w:ascii="Verdana" w:hAnsi="Verdana"/>
          <w:sz w:val="22"/>
          <w:szCs w:val="22"/>
        </w:rPr>
      </w:pPr>
      <w:r w:rsidRPr="006D3808">
        <w:rPr>
          <w:rFonts w:ascii="Verdana" w:hAnsi="Verdana"/>
          <w:sz w:val="22"/>
          <w:szCs w:val="22"/>
        </w:rPr>
        <w:t>Sin embargo, teniendo en cuenta que no hubo unanimidad con respecto al mecanismo financiero a aplicar, se puede dejar a la instancia de coordinación tomar la decisión de acuerdo con las condiciones y circunstancias del proceso de implementación de la delimitación.</w:t>
      </w:r>
    </w:p>
    <w:p w:rsidR="00C75E01" w:rsidP="006D3808" w:rsidRDefault="00C75E01" w14:paraId="3B1E3E17" w14:textId="77777777">
      <w:pPr>
        <w:jc w:val="both"/>
        <w:rPr>
          <w:rFonts w:ascii="Verdana" w:hAnsi="Verdana"/>
          <w:sz w:val="22"/>
          <w:szCs w:val="22"/>
        </w:rPr>
      </w:pPr>
    </w:p>
    <w:p w:rsidR="00E55E6D" w:rsidP="00C75E01" w:rsidRDefault="00384A31" w14:paraId="3A8482D8" w14:textId="5C35AD78">
      <w:pPr>
        <w:pStyle w:val="Estilo5"/>
      </w:pPr>
      <w:r w:rsidRPr="00384A31">
        <w:t>Desacuerdos</w:t>
      </w:r>
    </w:p>
    <w:p w:rsidRPr="00233989" w:rsidR="00384A31" w:rsidP="00384A31" w:rsidRDefault="00233989" w14:paraId="124CC01E" w14:textId="751F682E">
      <w:pPr>
        <w:jc w:val="both"/>
      </w:pPr>
      <w:r w:rsidRPr="1F9D8D6D" w:rsidR="00233989">
        <w:rPr>
          <w:rFonts w:ascii="Verdana" w:hAnsi="Verdana"/>
          <w:sz w:val="22"/>
          <w:szCs w:val="22"/>
        </w:rPr>
        <w:t>Durante las jornadas de concertación del Tema de Diálogo Ineludible No. 6 – Modelo de Financiación, se registró un (1) desacuerdo correspondiente al municipio de Toledo (Norte de Santander). Este desacuerdo se originó debido a que, durante el espacio de concertación, algunos participantes manifestaron su conformidad con la propuesta presentada por el Ministerio de Ambiente y Desarrollo Sostenible, mientras que otros expresaron su desacuerdo, impidiendo alcanzar un consenso unánime respecto a la aceptación de la propuesta.</w:t>
      </w:r>
      <w:r w:rsidRPr="1F9D8D6D" w:rsidR="00233989">
        <w:rPr>
          <w:rFonts w:ascii="Verdana" w:hAnsi="Verdana"/>
          <w:sz w:val="22"/>
          <w:szCs w:val="22"/>
        </w:rPr>
        <w:t xml:space="preserve"> </w:t>
      </w:r>
    </w:p>
    <w:p w:rsidR="1F9D8D6D" w:rsidP="1F9D8D6D" w:rsidRDefault="1F9D8D6D" w14:paraId="741C0B45" w14:textId="2261934E">
      <w:pPr>
        <w:pStyle w:val="Normal"/>
        <w:jc w:val="both"/>
        <w:rPr>
          <w:rFonts w:ascii="Verdana" w:hAnsi="Verdana"/>
          <w:sz w:val="22"/>
          <w:szCs w:val="22"/>
        </w:rPr>
      </w:pPr>
    </w:p>
    <w:p w:rsidR="1E94AA0D" w:rsidP="1F9D8D6D" w:rsidRDefault="1E94AA0D" w14:paraId="5E871087" w14:textId="610F7222">
      <w:pPr>
        <w:jc w:val="both"/>
        <w:rPr>
          <w:rFonts w:ascii="Verdana" w:hAnsi="Verdana"/>
          <w:b w:val="1"/>
          <w:bCs w:val="1"/>
          <w:sz w:val="22"/>
          <w:szCs w:val="22"/>
        </w:rPr>
      </w:pPr>
      <w:r w:rsidRPr="1F9D8D6D" w:rsidR="1E94AA0D">
        <w:rPr>
          <w:rFonts w:ascii="Verdana" w:hAnsi="Verdana"/>
          <w:b w:val="1"/>
          <w:bCs w:val="1"/>
          <w:sz w:val="22"/>
          <w:szCs w:val="22"/>
        </w:rPr>
        <w:t xml:space="preserve">PROPUESTA. </w:t>
      </w:r>
    </w:p>
    <w:p w:rsidR="1F9D8D6D" w:rsidP="1F9D8D6D" w:rsidRDefault="1F9D8D6D" w14:paraId="67135491" w14:textId="4EC59C0E">
      <w:pPr>
        <w:jc w:val="both"/>
        <w:rPr>
          <w:rFonts w:ascii="Verdana" w:hAnsi="Verdana"/>
          <w:sz w:val="22"/>
          <w:szCs w:val="22"/>
        </w:rPr>
      </w:pPr>
    </w:p>
    <w:p w:rsidR="1E94AA0D" w:rsidP="1F9D8D6D" w:rsidRDefault="1E94AA0D" w14:paraId="7557535F" w14:textId="32B889EE">
      <w:pPr>
        <w:pStyle w:val="Normal"/>
        <w:jc w:val="both"/>
      </w:pPr>
      <w:r w:rsidRPr="1F9D8D6D" w:rsidR="1E94AA0D">
        <w:rPr>
          <w:rFonts w:ascii="Verdana" w:hAnsi="Verdana" w:eastAsia="Verdana" w:cs="Verdana"/>
          <w:noProof w:val="0"/>
          <w:color w:val="000000" w:themeColor="text1" w:themeTint="FF" w:themeShade="FF"/>
          <w:sz w:val="22"/>
          <w:szCs w:val="22"/>
          <w:lang w:val="es-CO"/>
        </w:rPr>
        <w:t>Artículo 1. El modelo de financiación para la implementación de la delimitación del páramo Cruz Verde – Sumapaz tendrá cuatro componentes.</w:t>
      </w:r>
    </w:p>
    <w:p w:rsidR="1E94AA0D" w:rsidP="1F9D8D6D" w:rsidRDefault="1E94AA0D" w14:paraId="72D0C79B" w14:textId="0760D154">
      <w:pPr>
        <w:spacing w:before="0" w:beforeAutospacing="off" w:after="120" w:afterAutospacing="off" w:line="242" w:lineRule="auto"/>
        <w:jc w:val="both"/>
      </w:pPr>
      <w:r w:rsidR="1E94AA0D">
        <w:drawing>
          <wp:inline wp14:editId="0473A0BA" wp14:anchorId="19FC3C17">
            <wp:extent cx="4467225" cy="2514600"/>
            <wp:effectExtent l="0" t="0" r="0" b="0"/>
            <wp:docPr id="112863076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28630769" name="Picture 1128630769"/>
                    <pic:cNvPicPr/>
                  </pic:nvPicPr>
                  <pic:blipFill>
                    <a:blip xmlns:r="http://schemas.openxmlformats.org/officeDocument/2006/relationships" r:embed="rId1204191729">
                      <a:extLst>
                        <a:ext uri="{28A0092B-C50C-407E-A947-70E740481C1C}">
                          <a14:useLocalDpi xmlns:a14="http://schemas.microsoft.com/office/drawing/2010/main"/>
                        </a:ext>
                      </a:extLst>
                    </a:blip>
                    <a:stretch>
                      <a:fillRect/>
                    </a:stretch>
                  </pic:blipFill>
                  <pic:spPr>
                    <a:xfrm>
                      <a:off x="0" y="0"/>
                      <a:ext cx="4467225" cy="2514600"/>
                    </a:xfrm>
                    <a:prstGeom prst="rect">
                      <a:avLst/>
                    </a:prstGeom>
                  </pic:spPr>
                </pic:pic>
              </a:graphicData>
            </a:graphic>
          </wp:inline>
        </w:drawing>
      </w:r>
    </w:p>
    <w:p w:rsidR="1E94AA0D" w:rsidP="1F9D8D6D" w:rsidRDefault="1E94AA0D" w14:paraId="504EE429" w14:textId="0522B6D2">
      <w:pPr>
        <w:spacing w:before="0" w:beforeAutospacing="off" w:after="120" w:afterAutospacing="off" w:line="242" w:lineRule="auto"/>
        <w:jc w:val="both"/>
      </w:pPr>
      <w:r w:rsidRPr="1F9D8D6D" w:rsidR="1E94AA0D">
        <w:rPr>
          <w:rFonts w:ascii="Verdana" w:hAnsi="Verdana" w:eastAsia="Verdana" w:cs="Verdana"/>
          <w:noProof w:val="0"/>
          <w:color w:val="000000" w:themeColor="text1" w:themeTint="FF" w:themeShade="FF"/>
          <w:sz w:val="22"/>
          <w:szCs w:val="22"/>
          <w:lang w:val="es-CO"/>
        </w:rPr>
        <w:t xml:space="preserve">El primer componente es la demanda, es decir las necesidades de financiación; las cuales están asociadas a las acciones de conservación y reconversión productiva, apoyo a los negocios verdes y temas transversales como la planificación. </w:t>
      </w:r>
    </w:p>
    <w:p w:rsidR="1E94AA0D" w:rsidP="1F9D8D6D" w:rsidRDefault="1E94AA0D" w14:paraId="7C53C61E" w14:textId="015AC532">
      <w:pPr>
        <w:spacing w:before="0" w:beforeAutospacing="off" w:after="120" w:afterAutospacing="off" w:line="242" w:lineRule="auto"/>
        <w:jc w:val="both"/>
      </w:pPr>
      <w:r w:rsidRPr="1F9D8D6D" w:rsidR="1E94AA0D">
        <w:rPr>
          <w:rFonts w:ascii="Verdana" w:hAnsi="Verdana" w:eastAsia="Verdana" w:cs="Verdana"/>
          <w:noProof w:val="0"/>
          <w:color w:val="000000" w:themeColor="text1" w:themeTint="FF" w:themeShade="FF"/>
          <w:sz w:val="22"/>
          <w:szCs w:val="22"/>
          <w:lang w:val="es-CO"/>
        </w:rPr>
        <w:t xml:space="preserve">El segundo componente es la oferta que considera los recursos y actores interesados en la conservación de los servicios ecosistémicos del páramo, tanto públicos como privados y de nivel nacional como los ministerios, regional como los departamentos y las Corporaciones Regionales y locales, como los municipios. </w:t>
      </w:r>
    </w:p>
    <w:p w:rsidR="1E94AA0D" w:rsidP="1F9D8D6D" w:rsidRDefault="1E94AA0D" w14:paraId="5CCBD0A0" w14:textId="646C492A">
      <w:pPr>
        <w:spacing w:before="0" w:beforeAutospacing="off" w:after="120" w:afterAutospacing="off" w:line="242" w:lineRule="auto"/>
        <w:jc w:val="both"/>
      </w:pPr>
      <w:r w:rsidRPr="1F9D8D6D" w:rsidR="1E94AA0D">
        <w:rPr>
          <w:rFonts w:ascii="Verdana" w:hAnsi="Verdana" w:eastAsia="Verdana" w:cs="Verdana"/>
          <w:noProof w:val="0"/>
          <w:color w:val="000000" w:themeColor="text1" w:themeTint="FF" w:themeShade="FF"/>
          <w:sz w:val="22"/>
          <w:szCs w:val="22"/>
          <w:lang w:val="es-CO"/>
        </w:rPr>
        <w:t>El tercer componte es el de Incentivos, que permite a los actores que hacen parte del componente de Oferta vincularse con la demanda, es decir, atender las necesidades financieras; este componente agrupa los Instrumentos económicos y financieros y otras herramientas que benefician a los habitantes tradicionales del páramo que desarrollan actividades de conservación y restauración; e impulsan a los campesinos a hacer más sostenibles sus actividades o cambiarlas (reconversión o sustitución productiva).</w:t>
      </w:r>
    </w:p>
    <w:p w:rsidR="1E94AA0D" w:rsidP="1F9D8D6D" w:rsidRDefault="1E94AA0D" w14:paraId="3E16046C" w14:textId="64ED113B">
      <w:pPr>
        <w:spacing w:before="0" w:beforeAutospacing="off" w:after="120" w:afterAutospacing="off" w:line="242" w:lineRule="auto"/>
        <w:jc w:val="both"/>
      </w:pPr>
      <w:r w:rsidRPr="1F9D8D6D" w:rsidR="1E94AA0D">
        <w:rPr>
          <w:rFonts w:ascii="Verdana" w:hAnsi="Verdana" w:eastAsia="Verdana" w:cs="Verdana"/>
          <w:noProof w:val="0"/>
          <w:color w:val="000000" w:themeColor="text1" w:themeTint="FF" w:themeShade="FF"/>
          <w:sz w:val="22"/>
          <w:szCs w:val="22"/>
          <w:lang w:val="es-CO"/>
        </w:rPr>
        <w:t xml:space="preserve">En este componente se articulan incentivos ambientales como el PSA y los asociados a los negocios verdes con los del sector agropecuario e incentivos tributarios como la reducción del impuesto predial para predios en conservación. </w:t>
      </w:r>
    </w:p>
    <w:p w:rsidR="1E94AA0D" w:rsidP="1F9D8D6D" w:rsidRDefault="1E94AA0D" w14:paraId="69740FE7" w14:textId="1783BA91">
      <w:pPr>
        <w:spacing w:before="0" w:beforeAutospacing="off" w:after="120" w:afterAutospacing="off" w:line="242" w:lineRule="auto"/>
        <w:jc w:val="both"/>
      </w:pPr>
      <w:r w:rsidRPr="1F9D8D6D" w:rsidR="1E94AA0D">
        <w:rPr>
          <w:rFonts w:ascii="Verdana" w:hAnsi="Verdana" w:eastAsia="Verdana" w:cs="Verdana"/>
          <w:noProof w:val="0"/>
          <w:color w:val="000000" w:themeColor="text1" w:themeTint="FF" w:themeShade="FF"/>
          <w:sz w:val="22"/>
          <w:szCs w:val="22"/>
          <w:lang w:val="es-CO"/>
        </w:rPr>
        <w:t xml:space="preserve">El cuarto componente es el Mecanismo financiero que es el encargado de balancear los componentes de  oferta, incentivos y demanda siguiendo los lineamientos de política y prioridades de la instancia de coordinación. </w:t>
      </w:r>
    </w:p>
    <w:p w:rsidR="1E94AA0D" w:rsidP="1F9D8D6D" w:rsidRDefault="1E94AA0D" w14:paraId="75E42ADC" w14:textId="6358095A">
      <w:pPr>
        <w:spacing w:before="0" w:beforeAutospacing="off" w:after="120" w:afterAutospacing="off" w:line="242" w:lineRule="auto"/>
        <w:jc w:val="both"/>
      </w:pPr>
      <w:r w:rsidRPr="1F9D8D6D" w:rsidR="1E94AA0D">
        <w:rPr>
          <w:rFonts w:ascii="Verdana" w:hAnsi="Verdana" w:eastAsia="Verdana" w:cs="Verdana"/>
          <w:noProof w:val="0"/>
          <w:color w:val="000000" w:themeColor="text1" w:themeTint="FF" w:themeShade="FF"/>
          <w:sz w:val="22"/>
          <w:szCs w:val="22"/>
          <w:lang w:val="es-CO"/>
        </w:rPr>
        <w:t xml:space="preserve">Con relación a la oferta, debe articular actores y fuentes financieras a través de acuerdos que establezcan compromisos concretos de recursos a largo plazo; en la demanda, debe establecer prioridades temáticas y espaciales; así como metas, tiempos y plazos, de manera que se garantice un alto impacto en términos ambientales y sociales; y los incentivos ofrecidos por los actores públicos y privados deben estar ligados a las prioridades de la demanda y se deben articular de manera eficiente, ágil y flexible los ambientales, agropecuarios y tributarios. </w:t>
      </w:r>
    </w:p>
    <w:p w:rsidR="1E94AA0D" w:rsidP="1F9D8D6D" w:rsidRDefault="1E94AA0D" w14:paraId="17B79EEA" w14:textId="627309D2">
      <w:pPr>
        <w:spacing w:before="0" w:beforeAutospacing="off" w:after="120" w:afterAutospacing="off" w:line="242" w:lineRule="auto"/>
        <w:jc w:val="both"/>
      </w:pPr>
      <w:r w:rsidRPr="1F9D8D6D" w:rsidR="1E94AA0D">
        <w:rPr>
          <w:rFonts w:ascii="Verdana" w:hAnsi="Verdana" w:eastAsia="Verdana" w:cs="Verdana"/>
          <w:noProof w:val="0"/>
          <w:color w:val="000000" w:themeColor="text1" w:themeTint="FF" w:themeShade="FF"/>
          <w:sz w:val="22"/>
          <w:szCs w:val="22"/>
          <w:lang w:val="es-CO"/>
        </w:rPr>
        <w:t>El modelo de financiación no es autónomo sino que hace parte de la instancia de coordinación (ineludible 5); y tanto el modelo como la instancia de coordinación son objeto de vigilancia y seguimiento por parte del sistema de fiscalización (ineludible 3).</w:t>
      </w:r>
    </w:p>
    <w:p w:rsidR="1E94AA0D" w:rsidP="4DB08123" w:rsidRDefault="1E94AA0D" w14:paraId="500EDAEA" w14:textId="5FDB4398">
      <w:pPr>
        <w:spacing w:before="0" w:beforeAutospacing="off" w:after="120" w:afterAutospacing="off" w:line="242" w:lineRule="auto"/>
        <w:jc w:val="both"/>
        <w:rPr>
          <w:rFonts w:ascii="Verdana" w:hAnsi="Verdana" w:eastAsia="Verdana" w:cs="Verdana"/>
          <w:noProof w:val="0"/>
          <w:color w:val="000000" w:themeColor="text1" w:themeTint="FF" w:themeShade="FF"/>
          <w:sz w:val="22"/>
          <w:szCs w:val="22"/>
          <w:lang w:val="es-CO"/>
        </w:rPr>
      </w:pPr>
    </w:p>
    <w:p w:rsidR="1E94AA0D" w:rsidP="4DB08123" w:rsidRDefault="1E94AA0D" w14:paraId="3D3391F0" w14:textId="4481C4A3">
      <w:pPr>
        <w:spacing w:before="0" w:beforeAutospacing="off" w:after="120" w:afterAutospacing="off" w:line="242" w:lineRule="auto"/>
        <w:jc w:val="both"/>
        <w:rPr>
          <w:rFonts w:ascii="Verdana" w:hAnsi="Verdana" w:eastAsia="Verdana" w:cs="Verdana"/>
          <w:b w:val="1"/>
          <w:bCs w:val="1"/>
          <w:noProof w:val="0"/>
          <w:color w:val="000000" w:themeColor="text1" w:themeTint="FF" w:themeShade="FF"/>
          <w:sz w:val="22"/>
          <w:szCs w:val="22"/>
          <w:lang w:val="es-CO"/>
        </w:rPr>
      </w:pPr>
      <w:r w:rsidRPr="4DB08123" w:rsidR="509F1205">
        <w:rPr>
          <w:rFonts w:ascii="Verdana" w:hAnsi="Verdana" w:eastAsia="Verdana" w:cs="Verdana"/>
          <w:b w:val="1"/>
          <w:bCs w:val="1"/>
          <w:noProof w:val="0"/>
          <w:color w:val="000000" w:themeColor="text1" w:themeTint="FF" w:themeShade="FF"/>
          <w:sz w:val="22"/>
          <w:szCs w:val="22"/>
          <w:lang w:val="es-CO"/>
        </w:rPr>
        <w:t>Articulo 2. Demanda</w:t>
      </w:r>
    </w:p>
    <w:p w:rsidR="1E94AA0D" w:rsidP="1F9D8D6D" w:rsidRDefault="1E94AA0D" w14:paraId="7D65D710" w14:textId="04DEA0A7">
      <w:pPr>
        <w:spacing w:before="0" w:beforeAutospacing="off" w:after="120" w:afterAutospacing="off" w:line="242" w:lineRule="auto"/>
        <w:jc w:val="both"/>
      </w:pPr>
      <w:r w:rsidRPr="1F9D8D6D" w:rsidR="1E94AA0D">
        <w:rPr>
          <w:rFonts w:ascii="Verdana" w:hAnsi="Verdana" w:eastAsia="Verdana" w:cs="Verdana"/>
          <w:noProof w:val="0"/>
          <w:color w:val="000000" w:themeColor="text1" w:themeTint="FF" w:themeShade="FF"/>
          <w:sz w:val="22"/>
          <w:szCs w:val="22"/>
          <w:lang w:val="es-CO"/>
        </w:rPr>
        <w:t xml:space="preserve"> </w:t>
      </w:r>
    </w:p>
    <w:p w:rsidR="1E94AA0D" w:rsidP="1F9D8D6D" w:rsidRDefault="1E94AA0D" w14:paraId="5725CEB8" w14:textId="12D8AE25">
      <w:pPr>
        <w:spacing w:before="0" w:beforeAutospacing="off" w:after="120" w:afterAutospacing="off" w:line="242" w:lineRule="auto"/>
        <w:jc w:val="both"/>
      </w:pPr>
      <w:r w:rsidRPr="1F9D8D6D" w:rsidR="1E94AA0D">
        <w:rPr>
          <w:rFonts w:ascii="Verdana" w:hAnsi="Verdana" w:eastAsia="Verdana" w:cs="Verdana"/>
          <w:noProof w:val="0"/>
          <w:color w:val="000000" w:themeColor="text1" w:themeTint="FF" w:themeShade="FF"/>
          <w:sz w:val="22"/>
          <w:szCs w:val="22"/>
          <w:lang w:val="es-CO"/>
        </w:rPr>
        <w:t>El Ministerio de Ambiente en el marco de la Instancia de Coordinación:</w:t>
      </w:r>
    </w:p>
    <w:p w:rsidR="1E94AA0D" w:rsidP="1F9D8D6D" w:rsidRDefault="1E94AA0D" w14:paraId="55ECA0DE" w14:textId="0137454C">
      <w:pPr>
        <w:pStyle w:val="Prrafodelista"/>
        <w:numPr>
          <w:ilvl w:val="0"/>
          <w:numId w:val="21"/>
        </w:numPr>
        <w:spacing w:before="0" w:beforeAutospacing="off" w:after="0" w:afterAutospacing="off" w:line="242" w:lineRule="auto"/>
        <w:ind w:left="720" w:right="0" w:hanging="360"/>
        <w:jc w:val="both"/>
        <w:rPr>
          <w:rFonts w:ascii="Verdana" w:hAnsi="Verdana" w:eastAsia="Verdana" w:cs="Verdana"/>
          <w:noProof w:val="0"/>
          <w:sz w:val="22"/>
          <w:szCs w:val="22"/>
          <w:lang w:val="es-CO"/>
        </w:rPr>
      </w:pPr>
      <w:r w:rsidRPr="1F9D8D6D" w:rsidR="1E94AA0D">
        <w:rPr>
          <w:rFonts w:ascii="Verdana" w:hAnsi="Verdana" w:eastAsia="Verdana" w:cs="Verdana"/>
          <w:noProof w:val="0"/>
          <w:sz w:val="22"/>
          <w:szCs w:val="22"/>
          <w:lang w:val="es-CO"/>
        </w:rPr>
        <w:t>Gestionará los recursos para el desarrollo del censo ordenado en la Sentencia y la caracterización predial.</w:t>
      </w:r>
    </w:p>
    <w:p w:rsidR="1E94AA0D" w:rsidP="1F9D8D6D" w:rsidRDefault="1E94AA0D" w14:paraId="1D2BA2E3" w14:textId="27A96451">
      <w:pPr>
        <w:pStyle w:val="Prrafodelista"/>
        <w:numPr>
          <w:ilvl w:val="0"/>
          <w:numId w:val="21"/>
        </w:numPr>
        <w:spacing w:before="0" w:beforeAutospacing="off" w:after="0" w:afterAutospacing="off" w:line="242" w:lineRule="auto"/>
        <w:ind w:left="720" w:right="0" w:hanging="360"/>
        <w:jc w:val="both"/>
        <w:rPr>
          <w:rFonts w:ascii="Verdana" w:hAnsi="Verdana" w:eastAsia="Verdana" w:cs="Verdana"/>
          <w:noProof w:val="0"/>
          <w:sz w:val="22"/>
          <w:szCs w:val="22"/>
          <w:lang w:val="es-CO"/>
        </w:rPr>
      </w:pPr>
      <w:r w:rsidRPr="1F9D8D6D" w:rsidR="1E94AA0D">
        <w:rPr>
          <w:rFonts w:ascii="Verdana" w:hAnsi="Verdana" w:eastAsia="Verdana" w:cs="Verdana"/>
          <w:noProof w:val="0"/>
          <w:sz w:val="22"/>
          <w:szCs w:val="22"/>
          <w:lang w:val="es-CO"/>
        </w:rPr>
        <w:t>Priorizará en articulación con el Ministerio de Agricultura y las Autoridades Ambientales, las zonas específicas, área y beneficiarios por municipio; así como costos promedio para: Compra y saneamiento predial (incluyendo dentro del avalúo la valoración de los servicios ambientales, Resolución 963 de 2025) Pago por Servicios Ambientales-PSA para conservación, restauración y sistemas sostenibles asociados a los programas de conservación y restauración; y reconversión y sustitución productiva.</w:t>
      </w:r>
    </w:p>
    <w:p w:rsidR="1E94AA0D" w:rsidP="1F9D8D6D" w:rsidRDefault="1E94AA0D" w14:paraId="1A4159FB" w14:textId="4833E00D">
      <w:pPr>
        <w:pStyle w:val="Prrafodelista"/>
        <w:numPr>
          <w:ilvl w:val="0"/>
          <w:numId w:val="21"/>
        </w:numPr>
        <w:spacing w:before="0" w:beforeAutospacing="off" w:after="0" w:afterAutospacing="off" w:line="242" w:lineRule="auto"/>
        <w:ind w:left="720" w:right="0" w:hanging="360"/>
        <w:jc w:val="both"/>
        <w:rPr>
          <w:rFonts w:ascii="Verdana" w:hAnsi="Verdana" w:eastAsia="Verdana" w:cs="Verdana"/>
          <w:noProof w:val="0"/>
          <w:sz w:val="22"/>
          <w:szCs w:val="22"/>
          <w:lang w:val="es-CO"/>
        </w:rPr>
      </w:pPr>
      <w:r w:rsidRPr="4DB08123" w:rsidR="509F1205">
        <w:rPr>
          <w:rFonts w:ascii="Verdana" w:hAnsi="Verdana" w:eastAsia="Verdana" w:cs="Verdana"/>
          <w:noProof w:val="0"/>
          <w:sz w:val="22"/>
          <w:szCs w:val="22"/>
          <w:lang w:val="es-CO"/>
        </w:rPr>
        <w:t>Priorizará en articulación con las comunidades las actividades transversales a desarrollar, tales como educación ambiental, fortalecimiento institucional: formulación y gestión de proyectos, gestores de páramos; apoyo para la operación del sistema de fiscalización y la instancia de coordinación; y Negocios verdes asociados a los programas de reconversión y sustitución: capacitación, comercialización, emprendimiento, incentivos y líneas productivas consolidada.</w:t>
      </w:r>
    </w:p>
    <w:p w:rsidR="4DB08123" w:rsidP="4DB08123" w:rsidRDefault="4DB08123" w14:paraId="0E4C574A" w14:textId="76EFF5F8">
      <w:pPr>
        <w:pStyle w:val="Prrafodelista"/>
        <w:spacing w:before="0" w:beforeAutospacing="off" w:after="0" w:afterAutospacing="off" w:line="242" w:lineRule="auto"/>
        <w:ind w:left="720" w:right="0" w:hanging="360"/>
        <w:jc w:val="both"/>
        <w:rPr>
          <w:rFonts w:ascii="Verdana" w:hAnsi="Verdana" w:eastAsia="Verdana" w:cs="Verdana"/>
          <w:noProof w:val="0"/>
          <w:sz w:val="22"/>
          <w:szCs w:val="22"/>
          <w:lang w:val="es-CO"/>
        </w:rPr>
      </w:pPr>
    </w:p>
    <w:p w:rsidR="1E94AA0D" w:rsidP="4DB08123" w:rsidRDefault="1E94AA0D" w14:paraId="51E2D939" w14:textId="21C1B82D">
      <w:pPr>
        <w:spacing w:before="0" w:beforeAutospacing="off" w:after="120" w:afterAutospacing="off" w:line="242" w:lineRule="auto"/>
        <w:jc w:val="both"/>
        <w:rPr>
          <w:rFonts w:ascii="Verdana" w:hAnsi="Verdana" w:eastAsia="Verdana" w:cs="Verdana"/>
          <w:b w:val="1"/>
          <w:bCs w:val="1"/>
          <w:noProof w:val="0"/>
          <w:color w:val="000000" w:themeColor="text1" w:themeTint="FF" w:themeShade="FF"/>
          <w:sz w:val="22"/>
          <w:szCs w:val="22"/>
          <w:lang w:val="es-CO"/>
        </w:rPr>
      </w:pPr>
      <w:r w:rsidRPr="4DB08123" w:rsidR="509F1205">
        <w:rPr>
          <w:rFonts w:ascii="Verdana" w:hAnsi="Verdana" w:eastAsia="Verdana" w:cs="Verdana"/>
          <w:b w:val="1"/>
          <w:bCs w:val="1"/>
          <w:noProof w:val="0"/>
          <w:color w:val="000000" w:themeColor="text1" w:themeTint="FF" w:themeShade="FF"/>
          <w:sz w:val="22"/>
          <w:szCs w:val="22"/>
          <w:lang w:val="es-CO"/>
        </w:rPr>
        <w:t>Articulo 3. Oferta</w:t>
      </w:r>
    </w:p>
    <w:p w:rsidR="1E94AA0D" w:rsidP="1F9D8D6D" w:rsidRDefault="1E94AA0D" w14:paraId="55C125F9" w14:textId="4B0FAB56">
      <w:pPr>
        <w:spacing w:before="0" w:beforeAutospacing="off" w:after="120" w:afterAutospacing="off" w:line="242" w:lineRule="auto"/>
        <w:jc w:val="both"/>
      </w:pPr>
      <w:r w:rsidRPr="1F9D8D6D" w:rsidR="1E94AA0D">
        <w:rPr>
          <w:rFonts w:ascii="Verdana" w:hAnsi="Verdana" w:eastAsia="Verdana" w:cs="Verdana"/>
          <w:noProof w:val="0"/>
          <w:color w:val="000000" w:themeColor="text1" w:themeTint="FF" w:themeShade="FF"/>
          <w:sz w:val="22"/>
          <w:szCs w:val="22"/>
          <w:lang w:val="es-CO"/>
        </w:rPr>
        <w:t>El Ministerio de Ambiente en el marco de la instancia de coordinación</w:t>
      </w:r>
    </w:p>
    <w:p w:rsidR="1E94AA0D" w:rsidP="1F9D8D6D" w:rsidRDefault="1E94AA0D" w14:paraId="2526A338" w14:textId="756036AE">
      <w:pPr>
        <w:pStyle w:val="Prrafodelista"/>
        <w:numPr>
          <w:ilvl w:val="0"/>
          <w:numId w:val="22"/>
        </w:numPr>
        <w:spacing w:before="0" w:beforeAutospacing="off" w:after="0" w:afterAutospacing="off" w:line="242" w:lineRule="auto"/>
        <w:ind w:left="720" w:right="0" w:hanging="360"/>
        <w:jc w:val="both"/>
        <w:rPr>
          <w:rFonts w:ascii="Verdana" w:hAnsi="Verdana" w:eastAsia="Verdana" w:cs="Verdana"/>
          <w:noProof w:val="0"/>
          <w:sz w:val="22"/>
          <w:szCs w:val="22"/>
          <w:lang w:val="es-CO"/>
        </w:rPr>
      </w:pPr>
      <w:r w:rsidRPr="1F9D8D6D" w:rsidR="1E94AA0D">
        <w:rPr>
          <w:rFonts w:ascii="Verdana" w:hAnsi="Verdana" w:eastAsia="Verdana" w:cs="Verdana"/>
          <w:noProof w:val="0"/>
          <w:sz w:val="22"/>
          <w:szCs w:val="22"/>
          <w:lang w:val="es-CO"/>
        </w:rPr>
        <w:t>Gestionará recursos de fuentes nacionales como el Fondo Colombia en Paz-FCP, el Fondo para la Vida y la Biodiversidad y el Sistema General de Regalías, particularmente, la asignación ambiental; para la gestión ambiental integral del CPJSB.</w:t>
      </w:r>
    </w:p>
    <w:p w:rsidR="1E94AA0D" w:rsidP="1F9D8D6D" w:rsidRDefault="1E94AA0D" w14:paraId="04AB9AFC" w14:textId="0F7FA9FD">
      <w:pPr>
        <w:pStyle w:val="Prrafodelista"/>
        <w:numPr>
          <w:ilvl w:val="0"/>
          <w:numId w:val="22"/>
        </w:numPr>
        <w:spacing w:before="0" w:beforeAutospacing="off" w:after="0" w:afterAutospacing="off" w:line="242" w:lineRule="auto"/>
        <w:ind w:left="720" w:right="0" w:hanging="360"/>
        <w:jc w:val="both"/>
        <w:rPr>
          <w:rFonts w:ascii="Verdana" w:hAnsi="Verdana" w:eastAsia="Verdana" w:cs="Verdana"/>
          <w:noProof w:val="0"/>
          <w:sz w:val="22"/>
          <w:szCs w:val="22"/>
          <w:lang w:val="es-CO"/>
        </w:rPr>
      </w:pPr>
      <w:r w:rsidRPr="1F9D8D6D" w:rsidR="1E94AA0D">
        <w:rPr>
          <w:rFonts w:ascii="Verdana" w:hAnsi="Verdana" w:eastAsia="Verdana" w:cs="Verdana"/>
          <w:noProof w:val="0"/>
          <w:sz w:val="22"/>
          <w:szCs w:val="22"/>
          <w:lang w:val="es-CO"/>
        </w:rPr>
        <w:t xml:space="preserve">Formulará y gestionará proyectos de cooperación Internacional para la gestión ambiental integral del CPJSB. </w:t>
      </w:r>
    </w:p>
    <w:p w:rsidR="1E94AA0D" w:rsidP="1F9D8D6D" w:rsidRDefault="1E94AA0D" w14:paraId="636C5887" w14:textId="1E5F0645">
      <w:pPr>
        <w:pStyle w:val="Prrafodelista"/>
        <w:numPr>
          <w:ilvl w:val="0"/>
          <w:numId w:val="22"/>
        </w:numPr>
        <w:spacing w:before="0" w:beforeAutospacing="off" w:after="0" w:afterAutospacing="off" w:line="242" w:lineRule="auto"/>
        <w:ind w:left="720" w:right="0" w:hanging="360"/>
        <w:jc w:val="both"/>
        <w:rPr>
          <w:rFonts w:ascii="Verdana" w:hAnsi="Verdana" w:eastAsia="Verdana" w:cs="Verdana"/>
          <w:noProof w:val="0"/>
          <w:sz w:val="22"/>
          <w:szCs w:val="22"/>
          <w:lang w:val="es-CO"/>
        </w:rPr>
      </w:pPr>
      <w:r w:rsidRPr="1F9D8D6D" w:rsidR="1E94AA0D">
        <w:rPr>
          <w:rFonts w:ascii="Verdana" w:hAnsi="Verdana" w:eastAsia="Verdana" w:cs="Verdana"/>
          <w:noProof w:val="0"/>
          <w:sz w:val="22"/>
          <w:szCs w:val="22"/>
          <w:lang w:val="es-CO"/>
        </w:rPr>
        <w:t>Gestionará la operativización de fuentes como las compensaciones por pérdida de biodiversidad y el 1% inversión forzosa; para incrementar la inversión privado en el CPJSB.</w:t>
      </w:r>
    </w:p>
    <w:p w:rsidR="1E94AA0D" w:rsidP="1F9D8D6D" w:rsidRDefault="1E94AA0D" w14:paraId="052ED85F" w14:textId="110E6422">
      <w:pPr>
        <w:pStyle w:val="Prrafodelista"/>
        <w:numPr>
          <w:ilvl w:val="0"/>
          <w:numId w:val="22"/>
        </w:numPr>
        <w:spacing w:before="0" w:beforeAutospacing="off" w:after="0" w:afterAutospacing="off" w:line="242" w:lineRule="auto"/>
        <w:ind w:left="720" w:right="0" w:hanging="360"/>
        <w:jc w:val="both"/>
        <w:rPr>
          <w:rFonts w:ascii="Verdana" w:hAnsi="Verdana" w:eastAsia="Verdana" w:cs="Verdana"/>
          <w:noProof w:val="0"/>
          <w:sz w:val="22"/>
          <w:szCs w:val="22"/>
          <w:lang w:val="es-CO"/>
        </w:rPr>
      </w:pPr>
      <w:r w:rsidRPr="4DB08123" w:rsidR="509F1205">
        <w:rPr>
          <w:rFonts w:ascii="Verdana" w:hAnsi="Verdana" w:eastAsia="Verdana" w:cs="Verdana"/>
          <w:noProof w:val="0"/>
          <w:sz w:val="22"/>
          <w:szCs w:val="22"/>
          <w:lang w:val="es-CO"/>
        </w:rPr>
        <w:t>Articulará fuentes de financiación de otros sectores como minas, agricultura y turismo para atender las necesidades de financiación del CPJSB.</w:t>
      </w:r>
    </w:p>
    <w:p w:rsidR="4DB08123" w:rsidP="4DB08123" w:rsidRDefault="4DB08123" w14:paraId="161EFF85" w14:textId="102E6727">
      <w:pPr>
        <w:pStyle w:val="Prrafodelista"/>
        <w:spacing w:before="0" w:beforeAutospacing="off" w:after="0" w:afterAutospacing="off" w:line="242" w:lineRule="auto"/>
        <w:ind w:left="720" w:right="0" w:hanging="360"/>
        <w:jc w:val="both"/>
        <w:rPr>
          <w:rFonts w:ascii="Verdana" w:hAnsi="Verdana" w:eastAsia="Verdana" w:cs="Verdana"/>
          <w:noProof w:val="0"/>
          <w:sz w:val="22"/>
          <w:szCs w:val="22"/>
          <w:lang w:val="es-CO"/>
        </w:rPr>
      </w:pPr>
    </w:p>
    <w:p w:rsidR="1E94AA0D" w:rsidP="1F9D8D6D" w:rsidRDefault="1E94AA0D" w14:paraId="5A4F2379" w14:textId="772C3398">
      <w:pPr>
        <w:spacing w:before="0" w:beforeAutospacing="off" w:after="120" w:afterAutospacing="off" w:line="242" w:lineRule="auto"/>
        <w:jc w:val="both"/>
      </w:pPr>
      <w:r w:rsidRPr="1F9D8D6D" w:rsidR="1E94AA0D">
        <w:rPr>
          <w:rFonts w:ascii="Verdana" w:hAnsi="Verdana" w:eastAsia="Verdana" w:cs="Verdana"/>
          <w:noProof w:val="0"/>
          <w:color w:val="000000" w:themeColor="text1" w:themeTint="FF" w:themeShade="FF"/>
          <w:sz w:val="22"/>
          <w:szCs w:val="22"/>
          <w:lang w:val="es-CO"/>
        </w:rPr>
        <w:t>El Ministerio de Ambiente en el marco de la Instancia de Coordinación y en articulación con los entes territoriales y las Autoridades Ambientales</w:t>
      </w:r>
    </w:p>
    <w:p w:rsidR="1E94AA0D" w:rsidP="1F9D8D6D" w:rsidRDefault="1E94AA0D" w14:paraId="5B250ED2" w14:textId="143D0A82">
      <w:pPr>
        <w:pStyle w:val="Prrafodelista"/>
        <w:numPr>
          <w:ilvl w:val="0"/>
          <w:numId w:val="23"/>
        </w:numPr>
        <w:spacing w:before="0" w:beforeAutospacing="off" w:after="0" w:afterAutospacing="off" w:line="242" w:lineRule="auto"/>
        <w:ind w:left="720" w:right="0" w:hanging="360"/>
        <w:jc w:val="both"/>
        <w:rPr>
          <w:rFonts w:ascii="Verdana" w:hAnsi="Verdana" w:eastAsia="Verdana" w:cs="Verdana"/>
          <w:noProof w:val="0"/>
          <w:sz w:val="22"/>
          <w:szCs w:val="22"/>
          <w:lang w:val="es-CO"/>
        </w:rPr>
      </w:pPr>
      <w:r w:rsidRPr="1F9D8D6D" w:rsidR="1E94AA0D">
        <w:rPr>
          <w:rFonts w:ascii="Verdana" w:hAnsi="Verdana" w:eastAsia="Verdana" w:cs="Verdana"/>
          <w:noProof w:val="0"/>
          <w:sz w:val="22"/>
          <w:szCs w:val="22"/>
          <w:lang w:val="es-CO"/>
        </w:rPr>
        <w:t xml:space="preserve">Gestionará acuerdos a largo plazo, al menos 10 años, con departamentos y municipios de áreas metropolitanas y todos los municipios del CPJSB para hacer efectiva la inversión del 1% de los ingresos corrientes de libre destinación (art 111 Ley 99/93) al menos al 2% </w:t>
      </w:r>
    </w:p>
    <w:p w:rsidR="1E94AA0D" w:rsidP="1F9D8D6D" w:rsidRDefault="1E94AA0D" w14:paraId="6D08B9EC" w14:textId="6582C87C">
      <w:pPr>
        <w:pStyle w:val="Prrafodelista"/>
        <w:numPr>
          <w:ilvl w:val="0"/>
          <w:numId w:val="23"/>
        </w:numPr>
        <w:spacing w:before="0" w:beforeAutospacing="off" w:after="0" w:afterAutospacing="off" w:line="242" w:lineRule="auto"/>
        <w:ind w:left="720" w:right="0" w:hanging="360"/>
        <w:jc w:val="both"/>
        <w:rPr>
          <w:rFonts w:ascii="Verdana" w:hAnsi="Verdana" w:eastAsia="Verdana" w:cs="Verdana"/>
          <w:noProof w:val="0"/>
          <w:sz w:val="22"/>
          <w:szCs w:val="22"/>
          <w:lang w:val="es-CO"/>
        </w:rPr>
      </w:pPr>
      <w:r w:rsidRPr="1F9D8D6D" w:rsidR="1E94AA0D">
        <w:rPr>
          <w:rFonts w:ascii="Verdana" w:hAnsi="Verdana" w:eastAsia="Verdana" w:cs="Verdana"/>
          <w:noProof w:val="0"/>
          <w:sz w:val="22"/>
          <w:szCs w:val="22"/>
          <w:lang w:val="es-CO"/>
        </w:rPr>
        <w:t>Gestionar acuerdos con empresas de acueducto de las ciudades capitales y áreas metropolitanas, para que estas realicen sus inversiones ambientales en el área del CPJSB.</w:t>
      </w:r>
    </w:p>
    <w:p w:rsidR="1E94AA0D" w:rsidP="1F9D8D6D" w:rsidRDefault="1E94AA0D" w14:paraId="61E8A24B" w14:textId="053EB007">
      <w:pPr>
        <w:pStyle w:val="Prrafodelista"/>
        <w:numPr>
          <w:ilvl w:val="0"/>
          <w:numId w:val="23"/>
        </w:numPr>
        <w:spacing w:before="0" w:beforeAutospacing="off" w:after="0" w:afterAutospacing="off" w:line="242" w:lineRule="auto"/>
        <w:ind w:left="720" w:right="0" w:hanging="360"/>
        <w:jc w:val="both"/>
        <w:rPr>
          <w:rFonts w:ascii="Verdana" w:hAnsi="Verdana" w:eastAsia="Verdana" w:cs="Verdana"/>
          <w:noProof w:val="0"/>
          <w:sz w:val="22"/>
          <w:szCs w:val="22"/>
          <w:lang w:val="es-CO"/>
        </w:rPr>
      </w:pPr>
      <w:r w:rsidRPr="1F9D8D6D" w:rsidR="1E94AA0D">
        <w:rPr>
          <w:rFonts w:ascii="Verdana" w:hAnsi="Verdana" w:eastAsia="Verdana" w:cs="Verdana"/>
          <w:noProof w:val="0"/>
          <w:sz w:val="22"/>
          <w:szCs w:val="22"/>
          <w:lang w:val="es-CO"/>
        </w:rPr>
        <w:t xml:space="preserve">Promoverá la formulación y gestión de proyectos por parte de los departamentos y las Autoridades Ambientales Regionales dirigidos al Sistema General de Regalías, Fondo para la Vida y la Biodiversidad y Cooperación Internacional. </w:t>
      </w:r>
    </w:p>
    <w:p w:rsidR="1E94AA0D" w:rsidP="1F9D8D6D" w:rsidRDefault="1E94AA0D" w14:paraId="4FDC531D" w14:textId="27DFB860">
      <w:pPr>
        <w:pStyle w:val="Prrafodelista"/>
        <w:numPr>
          <w:ilvl w:val="0"/>
          <w:numId w:val="23"/>
        </w:numPr>
        <w:spacing w:before="0" w:beforeAutospacing="off" w:after="0" w:afterAutospacing="off" w:line="242" w:lineRule="auto"/>
        <w:ind w:left="720" w:right="0" w:hanging="360"/>
        <w:jc w:val="both"/>
        <w:rPr>
          <w:rFonts w:ascii="Verdana" w:hAnsi="Verdana" w:eastAsia="Verdana" w:cs="Verdana"/>
          <w:noProof w:val="0"/>
          <w:sz w:val="22"/>
          <w:szCs w:val="22"/>
          <w:lang w:val="es-CO"/>
        </w:rPr>
      </w:pPr>
      <w:r w:rsidRPr="1F9D8D6D" w:rsidR="1E94AA0D">
        <w:rPr>
          <w:rFonts w:ascii="Verdana" w:hAnsi="Verdana" w:eastAsia="Verdana" w:cs="Verdana"/>
          <w:noProof w:val="0"/>
          <w:sz w:val="22"/>
          <w:szCs w:val="22"/>
          <w:lang w:val="es-CO"/>
        </w:rPr>
        <w:t>Gestionará acuerdos con empresas privadas para conservación del recurso hídrico; particularmente a través de incentivos tributarios, mecanismo de obras por impuestos y aportes voluntarios.</w:t>
      </w:r>
    </w:p>
    <w:p w:rsidR="1E94AA0D" w:rsidP="1F9D8D6D" w:rsidRDefault="1E94AA0D" w14:paraId="29C8C0C0" w14:textId="1DAC4ECF">
      <w:pPr>
        <w:pStyle w:val="Prrafodelista"/>
        <w:numPr>
          <w:ilvl w:val="0"/>
          <w:numId w:val="23"/>
        </w:numPr>
        <w:spacing w:before="0" w:beforeAutospacing="off" w:after="0" w:afterAutospacing="off" w:line="242" w:lineRule="auto"/>
        <w:ind w:left="720" w:right="0" w:hanging="360"/>
        <w:jc w:val="both"/>
        <w:rPr>
          <w:rFonts w:ascii="Verdana" w:hAnsi="Verdana" w:eastAsia="Verdana" w:cs="Verdana"/>
          <w:noProof w:val="0"/>
          <w:sz w:val="22"/>
          <w:szCs w:val="22"/>
          <w:lang w:val="es-CO"/>
        </w:rPr>
      </w:pPr>
      <w:r w:rsidRPr="4DB08123" w:rsidR="509F1205">
        <w:rPr>
          <w:rFonts w:ascii="Verdana" w:hAnsi="Verdana" w:eastAsia="Verdana" w:cs="Verdana"/>
          <w:noProof w:val="0"/>
          <w:sz w:val="22"/>
          <w:szCs w:val="22"/>
          <w:lang w:val="es-CO"/>
        </w:rPr>
        <w:t>Promoverá acuerdos de los Consejos Directivos de autoridades ambientales: CAS, CORPONOR y CDMB para invertir recursos de tasa por uso de agua, transferencias del sector eléctrico, entre otras, en áreas priorizadas del CPSB.</w:t>
      </w:r>
    </w:p>
    <w:p w:rsidR="4DB08123" w:rsidP="4DB08123" w:rsidRDefault="4DB08123" w14:paraId="47CCDC49" w14:textId="26285750">
      <w:pPr>
        <w:pStyle w:val="Prrafodelista"/>
        <w:spacing w:before="0" w:beforeAutospacing="off" w:after="0" w:afterAutospacing="off" w:line="242" w:lineRule="auto"/>
        <w:ind w:left="720" w:right="0" w:hanging="360"/>
        <w:jc w:val="both"/>
        <w:rPr>
          <w:rFonts w:ascii="Verdana" w:hAnsi="Verdana" w:eastAsia="Verdana" w:cs="Verdana"/>
          <w:noProof w:val="0"/>
          <w:sz w:val="22"/>
          <w:szCs w:val="22"/>
          <w:lang w:val="es-CO"/>
        </w:rPr>
      </w:pPr>
    </w:p>
    <w:p w:rsidR="1E94AA0D" w:rsidP="4DB08123" w:rsidRDefault="1E94AA0D" w14:paraId="76EEECDA" w14:textId="09AC6BDD">
      <w:pPr>
        <w:spacing w:before="0" w:beforeAutospacing="off" w:after="120" w:afterAutospacing="off" w:line="242" w:lineRule="auto"/>
        <w:jc w:val="both"/>
        <w:rPr>
          <w:rFonts w:ascii="Verdana" w:hAnsi="Verdana" w:eastAsia="Verdana" w:cs="Verdana"/>
          <w:b w:val="1"/>
          <w:bCs w:val="1"/>
          <w:noProof w:val="0"/>
          <w:color w:val="000000" w:themeColor="text1" w:themeTint="FF" w:themeShade="FF"/>
          <w:sz w:val="22"/>
          <w:szCs w:val="22"/>
          <w:lang w:val="es-CO"/>
        </w:rPr>
      </w:pPr>
      <w:r w:rsidRPr="4DB08123" w:rsidR="509F1205">
        <w:rPr>
          <w:rFonts w:ascii="Verdana" w:hAnsi="Verdana" w:eastAsia="Verdana" w:cs="Verdana"/>
          <w:b w:val="1"/>
          <w:bCs w:val="1"/>
          <w:noProof w:val="0"/>
          <w:color w:val="000000" w:themeColor="text1" w:themeTint="FF" w:themeShade="FF"/>
          <w:sz w:val="22"/>
          <w:szCs w:val="22"/>
          <w:lang w:val="es-CO"/>
        </w:rPr>
        <w:t>Artículo 4. Incentivos.</w:t>
      </w:r>
    </w:p>
    <w:p w:rsidR="1E94AA0D" w:rsidP="1F9D8D6D" w:rsidRDefault="1E94AA0D" w14:paraId="5ED7F77D" w14:textId="11A08F4B">
      <w:pPr>
        <w:spacing w:before="0" w:beforeAutospacing="off" w:after="120" w:afterAutospacing="off" w:line="242" w:lineRule="auto"/>
        <w:jc w:val="both"/>
      </w:pPr>
      <w:r w:rsidRPr="1F9D8D6D" w:rsidR="1E94AA0D">
        <w:rPr>
          <w:rFonts w:ascii="Verdana" w:hAnsi="Verdana" w:eastAsia="Verdana" w:cs="Verdana"/>
          <w:noProof w:val="0"/>
          <w:color w:val="000000" w:themeColor="text1" w:themeTint="FF" w:themeShade="FF"/>
          <w:sz w:val="22"/>
          <w:szCs w:val="22"/>
          <w:lang w:val="es-CO"/>
        </w:rPr>
        <w:t>El Ministerio de Ambiente en el marco de la Instancia de Coordinación, en particular en articulación con el Ministerio de Agricultura y las Autoridades Ambientales Regionales</w:t>
      </w:r>
    </w:p>
    <w:p w:rsidR="1E94AA0D" w:rsidP="1F9D8D6D" w:rsidRDefault="1E94AA0D" w14:paraId="1731C818" w14:textId="5A0C4F68">
      <w:pPr>
        <w:spacing w:before="0" w:beforeAutospacing="off" w:after="120" w:afterAutospacing="off" w:line="242" w:lineRule="auto"/>
        <w:jc w:val="both"/>
      </w:pPr>
      <w:r w:rsidRPr="1F9D8D6D" w:rsidR="1E94AA0D">
        <w:rPr>
          <w:rFonts w:ascii="Verdana" w:hAnsi="Verdana" w:eastAsia="Verdana" w:cs="Verdana"/>
          <w:noProof w:val="0"/>
          <w:color w:val="000000" w:themeColor="text1" w:themeTint="FF" w:themeShade="FF"/>
          <w:sz w:val="22"/>
          <w:szCs w:val="22"/>
          <w:lang w:val="es-CO"/>
        </w:rPr>
        <w:t xml:space="preserve"> </w:t>
      </w:r>
    </w:p>
    <w:p w:rsidR="1E94AA0D" w:rsidP="1F9D8D6D" w:rsidRDefault="1E94AA0D" w14:paraId="2D2375B6" w14:textId="67E3D265">
      <w:pPr>
        <w:pStyle w:val="Prrafodelista"/>
        <w:numPr>
          <w:ilvl w:val="0"/>
          <w:numId w:val="24"/>
        </w:numPr>
        <w:spacing w:before="0" w:beforeAutospacing="off" w:after="0" w:afterAutospacing="off" w:line="242" w:lineRule="auto"/>
        <w:ind w:left="720" w:right="0" w:hanging="360"/>
        <w:jc w:val="both"/>
        <w:rPr>
          <w:rFonts w:ascii="Verdana" w:hAnsi="Verdana" w:eastAsia="Verdana" w:cs="Verdana"/>
          <w:noProof w:val="0"/>
          <w:sz w:val="22"/>
          <w:szCs w:val="22"/>
          <w:lang w:val="es-CO"/>
        </w:rPr>
      </w:pPr>
      <w:r w:rsidRPr="4DB08123" w:rsidR="509F1205">
        <w:rPr>
          <w:rFonts w:ascii="Verdana" w:hAnsi="Verdana" w:eastAsia="Verdana" w:cs="Verdana"/>
          <w:noProof w:val="0"/>
          <w:sz w:val="22"/>
          <w:szCs w:val="22"/>
          <w:lang w:val="es-CO"/>
        </w:rPr>
        <w:t>Para promover la conservación y restauración en el páramo, se articularan incentivos como el Pago por Servicios Ambientales, la compra de predios y la exención o reducción del impuesto predial, entre otros, de acuerdo a las particularidades de los predios (extensión del mismo, actividades económicas desarrolladas, estado de conservación y generación de servicios ecosistémicos) y las características socio económicas de los habitantes de la zona páramo (propietarios y/o poseedores de buena fe), así como las características propias de cada incentivo.</w:t>
      </w:r>
    </w:p>
    <w:p w:rsidR="4DB08123" w:rsidP="4DB08123" w:rsidRDefault="4DB08123" w14:paraId="67F7D98F" w14:textId="46F36229">
      <w:pPr>
        <w:pStyle w:val="Prrafodelista"/>
        <w:spacing w:before="0" w:beforeAutospacing="off" w:after="0" w:afterAutospacing="off" w:line="242" w:lineRule="auto"/>
        <w:ind w:left="720" w:right="0" w:hanging="360"/>
        <w:jc w:val="both"/>
        <w:rPr>
          <w:rFonts w:ascii="Verdana" w:hAnsi="Verdana" w:eastAsia="Verdana" w:cs="Verdana"/>
          <w:noProof w:val="0"/>
          <w:sz w:val="22"/>
          <w:szCs w:val="22"/>
          <w:lang w:val="es-CO"/>
        </w:rPr>
      </w:pPr>
    </w:p>
    <w:p w:rsidR="1E94AA0D" w:rsidP="1F9D8D6D" w:rsidRDefault="1E94AA0D" w14:paraId="6AA06055" w14:textId="166BD747">
      <w:pPr>
        <w:pStyle w:val="Prrafodelista"/>
        <w:numPr>
          <w:ilvl w:val="0"/>
          <w:numId w:val="24"/>
        </w:numPr>
        <w:spacing w:before="0" w:beforeAutospacing="off" w:after="0" w:afterAutospacing="off" w:line="242" w:lineRule="auto"/>
        <w:ind w:left="720" w:right="0" w:hanging="360"/>
        <w:jc w:val="both"/>
        <w:rPr>
          <w:rFonts w:ascii="Verdana" w:hAnsi="Verdana" w:eastAsia="Verdana" w:cs="Verdana"/>
          <w:noProof w:val="0"/>
          <w:sz w:val="22"/>
          <w:szCs w:val="22"/>
          <w:lang w:val="es-CO"/>
        </w:rPr>
      </w:pPr>
      <w:r w:rsidRPr="4DB08123" w:rsidR="509F1205">
        <w:rPr>
          <w:rFonts w:ascii="Verdana" w:hAnsi="Verdana" w:eastAsia="Verdana" w:cs="Verdana"/>
          <w:noProof w:val="0"/>
          <w:sz w:val="22"/>
          <w:szCs w:val="22"/>
          <w:lang w:val="es-CO"/>
        </w:rPr>
        <w:t>De la misma manera, para promover la reconversión y sustitución productiva agropecuaria por parte de los habitantes tradicionales de páramo, se articularán incentivos del sector agropecuario tales como créditos de fomento agropecuario, líneas especiales de crédito, fondo de garantías y los derivados de la política de agricultura campesina, familiar y comunitaria, entre otros, así como la incorporación de Pagos por Servicios Ambientales para sistemas productivos y a negocios verdes; garantizando la sostenibilidad económica de los sistemas productivos de paramo.</w:t>
      </w:r>
    </w:p>
    <w:p w:rsidR="4DB08123" w:rsidP="4DB08123" w:rsidRDefault="4DB08123" w14:paraId="35DEFF97" w14:textId="65B2662E">
      <w:pPr>
        <w:pStyle w:val="Prrafodelista"/>
        <w:spacing w:before="0" w:beforeAutospacing="off" w:after="0" w:afterAutospacing="off" w:line="242" w:lineRule="auto"/>
        <w:ind w:left="720" w:right="0" w:hanging="360"/>
        <w:jc w:val="both"/>
        <w:rPr>
          <w:rFonts w:ascii="Verdana" w:hAnsi="Verdana" w:eastAsia="Verdana" w:cs="Verdana"/>
          <w:noProof w:val="0"/>
          <w:sz w:val="22"/>
          <w:szCs w:val="22"/>
          <w:lang w:val="es-CO"/>
        </w:rPr>
      </w:pPr>
    </w:p>
    <w:p w:rsidR="1E94AA0D" w:rsidP="4DB08123" w:rsidRDefault="1E94AA0D" w14:paraId="0265A3EF" w14:textId="76714CC4">
      <w:pPr>
        <w:spacing w:before="0" w:beforeAutospacing="off" w:after="120" w:afterAutospacing="off" w:line="242" w:lineRule="auto"/>
        <w:jc w:val="both"/>
        <w:rPr>
          <w:rFonts w:ascii="Verdana" w:hAnsi="Verdana" w:eastAsia="Verdana" w:cs="Verdana"/>
          <w:b w:val="1"/>
          <w:bCs w:val="1"/>
          <w:noProof w:val="0"/>
          <w:color w:val="000000" w:themeColor="text1" w:themeTint="FF" w:themeShade="FF"/>
          <w:sz w:val="22"/>
          <w:szCs w:val="22"/>
          <w:lang w:val="es-CO"/>
        </w:rPr>
      </w:pPr>
      <w:r w:rsidRPr="4DB08123" w:rsidR="509F1205">
        <w:rPr>
          <w:rFonts w:ascii="Verdana" w:hAnsi="Verdana" w:eastAsia="Verdana" w:cs="Verdana"/>
          <w:b w:val="1"/>
          <w:bCs w:val="1"/>
          <w:noProof w:val="0"/>
          <w:color w:val="000000" w:themeColor="text1" w:themeTint="FF" w:themeShade="FF"/>
          <w:sz w:val="22"/>
          <w:szCs w:val="22"/>
          <w:lang w:val="es-CO"/>
        </w:rPr>
        <w:t>Articulo 5. Mecanismo Financiero.</w:t>
      </w:r>
    </w:p>
    <w:p w:rsidR="4DB08123" w:rsidP="4DB08123" w:rsidRDefault="4DB08123" w14:paraId="46F87404" w14:textId="71112224">
      <w:pPr>
        <w:spacing w:before="0" w:beforeAutospacing="off" w:after="120" w:afterAutospacing="off" w:line="242" w:lineRule="auto"/>
        <w:jc w:val="both"/>
        <w:rPr>
          <w:rFonts w:ascii="Verdana" w:hAnsi="Verdana" w:eastAsia="Verdana" w:cs="Verdana"/>
          <w:noProof w:val="0"/>
          <w:color w:val="000000" w:themeColor="text1" w:themeTint="FF" w:themeShade="FF"/>
          <w:sz w:val="22"/>
          <w:szCs w:val="22"/>
          <w:lang w:val="es-CO"/>
        </w:rPr>
      </w:pPr>
    </w:p>
    <w:p w:rsidR="1E94AA0D" w:rsidP="1F9D8D6D" w:rsidRDefault="1E94AA0D" w14:paraId="5C253F84" w14:textId="4DA399FE">
      <w:pPr>
        <w:spacing w:before="0" w:beforeAutospacing="off" w:after="120" w:afterAutospacing="off" w:line="242" w:lineRule="auto"/>
        <w:jc w:val="both"/>
      </w:pPr>
      <w:r w:rsidRPr="1F9D8D6D" w:rsidR="1E94AA0D">
        <w:rPr>
          <w:rFonts w:ascii="Verdana" w:hAnsi="Verdana" w:eastAsia="Verdana" w:cs="Verdana"/>
          <w:noProof w:val="0"/>
          <w:color w:val="000000" w:themeColor="text1" w:themeTint="FF" w:themeShade="FF"/>
          <w:sz w:val="22"/>
          <w:szCs w:val="22"/>
          <w:lang w:val="es-CO"/>
        </w:rPr>
        <w:t>El Ministerio de ambiente en el marco de la Instancia de coordinación, promoverá la creación del Mecanismo financiero para la gestión ambiental del CPJSB,  facilitando la articulación de actores y recursos públicos y privados, o, el fortalecimiento y potencialización de iniciativas en marcha ya existentes o en conformación para incluir actores, particularmente las corporaciones regionales; así como la vinculación de recursos públicos y privados garantizando la participación efectiva de las comunidades y municipios que hacen parte del páramo.</w:t>
      </w:r>
    </w:p>
    <w:p w:rsidR="1E94AA0D" w:rsidP="1F9D8D6D" w:rsidRDefault="1E94AA0D" w14:paraId="44503F87" w14:textId="3856EF29">
      <w:pPr>
        <w:spacing w:before="0" w:beforeAutospacing="off" w:after="120" w:afterAutospacing="off" w:line="242" w:lineRule="auto"/>
        <w:jc w:val="both"/>
      </w:pPr>
      <w:r w:rsidRPr="1F9D8D6D" w:rsidR="1E94AA0D">
        <w:rPr>
          <w:rFonts w:ascii="Verdana" w:hAnsi="Verdana" w:eastAsia="Verdana" w:cs="Verdana"/>
          <w:noProof w:val="0"/>
          <w:color w:val="000000" w:themeColor="text1" w:themeTint="FF" w:themeShade="FF"/>
          <w:sz w:val="22"/>
          <w:szCs w:val="22"/>
          <w:lang w:val="es-CO"/>
        </w:rPr>
        <w:t>El mecanismo financiero debe hacer parte de la estructura de la instancia de coordinación y debe seguir los lineamientos generales y las directrices de política de esa instancia; la cual deberá garantizar que el mecanismo sea autosostenible, transparente y participativo.</w:t>
      </w:r>
    </w:p>
    <w:p w:rsidR="1E94AA0D" w:rsidP="1F9D8D6D" w:rsidRDefault="1E94AA0D" w14:paraId="6CF73FB5" w14:textId="4BD257E1">
      <w:pPr>
        <w:spacing w:before="0" w:beforeAutospacing="off" w:after="120" w:afterAutospacing="off" w:line="242" w:lineRule="auto"/>
        <w:jc w:val="both"/>
      </w:pPr>
      <w:r w:rsidRPr="1F9D8D6D" w:rsidR="1E94AA0D">
        <w:rPr>
          <w:rFonts w:ascii="Verdana" w:hAnsi="Verdana" w:eastAsia="Verdana" w:cs="Verdana"/>
          <w:noProof w:val="0"/>
          <w:color w:val="000000" w:themeColor="text1" w:themeTint="FF" w:themeShade="FF"/>
          <w:sz w:val="22"/>
          <w:szCs w:val="22"/>
          <w:lang w:val="es-CO"/>
        </w:rPr>
        <w:t xml:space="preserve">Puede contemplar diferentes modalidades de articulación de actores y recursos: acuerdos de conservación, alianzas para cuidado de la cuencas y fondos de agua, entre otras. </w:t>
      </w:r>
    </w:p>
    <w:p w:rsidR="1E94AA0D" w:rsidP="1F9D8D6D" w:rsidRDefault="1E94AA0D" w14:paraId="113A9F64" w14:textId="58E6C1A0">
      <w:pPr>
        <w:spacing w:before="0" w:beforeAutospacing="off" w:after="120" w:afterAutospacing="off" w:line="242" w:lineRule="auto"/>
        <w:jc w:val="both"/>
      </w:pPr>
      <w:r w:rsidRPr="1F9D8D6D" w:rsidR="1E94AA0D">
        <w:rPr>
          <w:rFonts w:ascii="Verdana" w:hAnsi="Verdana" w:eastAsia="Verdana" w:cs="Verdana"/>
          <w:noProof w:val="0"/>
          <w:color w:val="000000" w:themeColor="text1" w:themeTint="FF" w:themeShade="FF"/>
          <w:sz w:val="22"/>
          <w:szCs w:val="22"/>
          <w:lang w:val="es-CO"/>
        </w:rPr>
        <w:t>El mecanismo debe garantizar el manejo transparente de los recursos, permitir la ejecución de los recursos directamente por las comunidades paramunas y garantizar la participación de los habitantes tradicionales del páramo.</w:t>
      </w:r>
    </w:p>
    <w:p w:rsidR="1E94AA0D" w:rsidP="1F9D8D6D" w:rsidRDefault="1E94AA0D" w14:paraId="0CC6F583" w14:textId="244D4116">
      <w:pPr>
        <w:spacing w:before="0" w:beforeAutospacing="off" w:after="120" w:afterAutospacing="off" w:line="242" w:lineRule="auto"/>
        <w:jc w:val="both"/>
      </w:pPr>
      <w:r w:rsidRPr="4DB08123" w:rsidR="509F1205">
        <w:rPr>
          <w:rFonts w:ascii="Verdana" w:hAnsi="Verdana" w:eastAsia="Verdana" w:cs="Verdana"/>
          <w:noProof w:val="0"/>
          <w:color w:val="000000" w:themeColor="text1" w:themeTint="FF" w:themeShade="FF"/>
          <w:sz w:val="22"/>
          <w:szCs w:val="22"/>
          <w:lang w:val="es-CO"/>
        </w:rPr>
        <w:t xml:space="preserve">El mecanismo financiero deberá balancear los componentes de demanda, oferta e incentivos. En el componente de demanda, deberá establecer prioridades: Zonas, ejes, temas transversales y beneficiarios; en el de oferta, articular actores y fuentes de financiación a través de acuerdos concretos y de largo plazo; y en el de incentivos, integrar de manera eficiente y ágil los incentivos de los sectores </w:t>
      </w:r>
      <w:r w:rsidRPr="4DB08123" w:rsidR="509F1205">
        <w:rPr>
          <w:rFonts w:ascii="Verdana" w:hAnsi="Verdana" w:eastAsia="Verdana" w:cs="Verdana"/>
          <w:noProof w:val="0"/>
          <w:color w:val="000000" w:themeColor="text1" w:themeTint="FF" w:themeShade="FF"/>
          <w:sz w:val="22"/>
          <w:szCs w:val="22"/>
          <w:lang w:val="es-CO"/>
        </w:rPr>
        <w:t>ambiental, agropecuario</w:t>
      </w:r>
      <w:r w:rsidRPr="4DB08123" w:rsidR="509F1205">
        <w:rPr>
          <w:rFonts w:ascii="Verdana" w:hAnsi="Verdana" w:eastAsia="Verdana" w:cs="Verdana"/>
          <w:noProof w:val="0"/>
          <w:color w:val="000000" w:themeColor="text1" w:themeTint="FF" w:themeShade="FF"/>
          <w:sz w:val="22"/>
          <w:szCs w:val="22"/>
          <w:lang w:val="es-CO"/>
        </w:rPr>
        <w:t>, minero y tributario para atender de manera integral a los productores en los procesos de conservación y reconversión productiva.</w:t>
      </w:r>
    </w:p>
    <w:p w:rsidR="1F9D8D6D" w:rsidP="1F9D8D6D" w:rsidRDefault="1F9D8D6D" w14:paraId="3F5E8B7F" w14:textId="5CBD8081">
      <w:pPr>
        <w:jc w:val="both"/>
        <w:rPr>
          <w:rFonts w:ascii="Verdana" w:hAnsi="Verdana"/>
          <w:sz w:val="22"/>
          <w:szCs w:val="22"/>
        </w:rPr>
      </w:pPr>
    </w:p>
    <w:sectPr w:rsidRPr="00233989" w:rsidR="00384A31" w:rsidSect="00AC4C6F">
      <w:headerReference w:type="default" r:id="rId31"/>
      <w:footerReference w:type="default" r:id="rId32"/>
      <w:pgSz w:w="12240" w:h="15840" w:orient="portrait"/>
      <w:pgMar w:top="2127" w:right="1701" w:bottom="1985" w:left="1701"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D2335" w:rsidP="00757B36" w:rsidRDefault="006D2335" w14:paraId="1176E1D9" w14:textId="77777777">
      <w:pPr>
        <w:spacing w:after="0" w:line="240" w:lineRule="auto"/>
      </w:pPr>
      <w:r>
        <w:separator/>
      </w:r>
    </w:p>
  </w:endnote>
  <w:endnote w:type="continuationSeparator" w:id="0">
    <w:p w:rsidR="006D2335" w:rsidP="00757B36" w:rsidRDefault="006D2335" w14:paraId="0A078C59" w14:textId="77777777">
      <w:pPr>
        <w:spacing w:after="0" w:line="240" w:lineRule="auto"/>
      </w:pPr>
      <w:r>
        <w:continuationSeparator/>
      </w:r>
    </w:p>
  </w:endnote>
  <w:endnote w:type="continuationNotice" w:id="1">
    <w:p w:rsidR="006D2335" w:rsidRDefault="006D2335" w14:paraId="39E3897B"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6FF" w:usb1="4000FCFF" w:usb2="00000009" w:usb3="00000000" w:csb0="0000019F" w:csb1="00000000"/>
  </w:font>
  <w:font w:name="Arial">
    <w:panose1 w:val="020B0604020202020204"/>
    <w:charset w:val="00"/>
    <w:family w:val="swiss"/>
    <w:pitch w:val="variable"/>
    <w:sig w:usb0="E0002AFF" w:usb1="C0007843" w:usb2="00000009" w:usb3="00000000" w:csb0="000001FF" w:csb1="00000000"/>
  </w:font>
  <w:font w:name="PNDKN T+ Myriad Pro">
    <w:altName w:val="Calibri"/>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Humnst777 Lt BT">
    <w:altName w:val="Arial"/>
    <w:charset w:val="00"/>
    <w:family w:val="swiss"/>
    <w:pitch w:val="variable"/>
    <w:sig w:usb0="800000AF" w:usb1="1000204A" w:usb2="00000000" w:usb3="00000000" w:csb0="00000011" w:csb1="00000000"/>
  </w:font>
  <w:font w:name="Liberation Serif">
    <w:altName w:val="Times New Roman"/>
    <w:charset w:val="00"/>
    <w:family w:val="roman"/>
    <w:pitch w:val="variable"/>
  </w:font>
  <w:font w:name="DejaVu Sans">
    <w:altName w:val="Arial"/>
    <w:charset w:val="00"/>
    <w:family w:val="swiss"/>
    <w:pitch w:val="variable"/>
    <w:sig w:usb0="00000000" w:usb1="D200FDFF" w:usb2="0A246029" w:usb3="00000000" w:csb0="000001FF" w:csb1="00000000"/>
  </w:font>
  <w:font w:name="Lohit Hindi">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p14">
  <w:sdt>
    <w:sdtPr>
      <w:rPr>
        <w:lang w:val="es-ES"/>
      </w:rPr>
      <w:id w:val="-1071572585"/>
      <w:docPartObj>
        <w:docPartGallery w:val="Page Numbers (Bottom of Page)"/>
        <w:docPartUnique/>
      </w:docPartObj>
    </w:sdtPr>
    <w:sdtEndPr>
      <w:rPr>
        <w:rFonts w:ascii="Verdana" w:hAnsi="Verdana"/>
        <w:color w:val="000000"/>
        <w:sz w:val="18"/>
        <w:szCs w:val="18"/>
        <w:lang w:val="es-CO"/>
      </w:rPr>
    </w:sdtEndPr>
    <w:sdtContent>
      <w:p w:rsidRPr="003A3319" w:rsidR="0022254F" w:rsidP="0022254F" w:rsidRDefault="00D34D20" w14:paraId="795CDCB7" w14:textId="77777777">
        <w:pPr>
          <w:pStyle w:val="Piedepgina"/>
          <w:jc w:val="right"/>
          <w:rPr>
            <w:rFonts w:ascii="Verdana" w:hAnsi="Verdana"/>
            <w:color w:val="000000"/>
            <w:sz w:val="18"/>
            <w:szCs w:val="18"/>
          </w:rPr>
        </w:pPr>
        <w:r w:rsidRPr="003A3319">
          <w:rPr>
            <w:rFonts w:ascii="Verdana" w:hAnsi="Verdana"/>
            <w:noProof/>
            <w:sz w:val="18"/>
            <w:szCs w:val="18"/>
          </w:rPr>
          <mc:AlternateContent>
            <mc:Choice Requires="wps">
              <w:drawing>
                <wp:anchor distT="0" distB="0" distL="114300" distR="114300" simplePos="0" relativeHeight="251658241" behindDoc="0" locked="0" layoutInCell="1" allowOverlap="1" wp14:anchorId="7AE5F12B" wp14:editId="46832876">
                  <wp:simplePos x="0" y="0"/>
                  <wp:positionH relativeFrom="margin">
                    <wp:posOffset>-99060</wp:posOffset>
                  </wp:positionH>
                  <wp:positionV relativeFrom="paragraph">
                    <wp:posOffset>-252730</wp:posOffset>
                  </wp:positionV>
                  <wp:extent cx="5457825" cy="1229995"/>
                  <wp:effectExtent l="0" t="0" r="0" b="0"/>
                  <wp:wrapNone/>
                  <wp:docPr id="1223101586" name="Cuadro de texto 1"/>
                  <wp:cNvGraphicFramePr/>
                  <a:graphic xmlns:a="http://schemas.openxmlformats.org/drawingml/2006/main">
                    <a:graphicData uri="http://schemas.microsoft.com/office/word/2010/wordprocessingShape">
                      <wps:wsp>
                        <wps:cNvSpPr txBox="1"/>
                        <wps:spPr>
                          <a:xfrm>
                            <a:off x="0" y="0"/>
                            <a:ext cx="5457825" cy="1229995"/>
                          </a:xfrm>
                          <a:prstGeom prst="rect">
                            <a:avLst/>
                          </a:prstGeom>
                          <a:noFill/>
                          <a:ln w="6350">
                            <a:noFill/>
                          </a:ln>
                        </wps:spPr>
                        <wps:txbx>
                          <w:txbxContent>
                            <w:p w:rsidRPr="00894A80" w:rsidR="00D34D20" w:rsidP="00D34D20" w:rsidRDefault="00D34D20" w14:paraId="79D92C5A" w14:textId="5628690E">
                              <w:pPr>
                                <w:spacing w:after="0" w:line="276" w:lineRule="auto"/>
                                <w:jc w:val="both"/>
                                <w:rPr>
                                  <w:rFonts w:ascii="Helvetica" w:hAnsi="Helvetica"/>
                                </w:rPr>
                              </w:pPr>
                              <w:r w:rsidRPr="00894A80">
                                <w:rPr>
                                  <w:rFonts w:ascii="Helvetica" w:hAnsi="Helvetica"/>
                                </w:rPr>
                                <w:t>________________________________________________________________________</w:t>
                              </w:r>
                            </w:p>
                            <w:p w:rsidRPr="00894A80" w:rsidR="00D34D20" w:rsidP="00D34D20" w:rsidRDefault="00726A3B" w14:paraId="1B8765A5" w14:textId="4A83745E">
                              <w:pPr>
                                <w:spacing w:after="0" w:line="276" w:lineRule="auto"/>
                                <w:jc w:val="both"/>
                                <w:rPr>
                                  <w:rFonts w:ascii="Verdana" w:hAnsi="Verdana"/>
                                  <w:b/>
                                  <w:bCs/>
                                  <w:sz w:val="18"/>
                                  <w:szCs w:val="18"/>
                                </w:rPr>
                              </w:pPr>
                              <w:r w:rsidRPr="00894A80">
                                <w:rPr>
                                  <w:rFonts w:ascii="Verdana" w:hAnsi="Verdana"/>
                                  <w:b/>
                                  <w:bCs/>
                                  <w:sz w:val="18"/>
                                  <w:szCs w:val="18"/>
                                </w:rPr>
                                <w:t>Ministerio de Ambiente y Desarrollo Sostenible</w:t>
                              </w:r>
                            </w:p>
                            <w:p w:rsidRPr="00894A80" w:rsidR="00D34D20" w:rsidP="00D34D20" w:rsidRDefault="00D34D20" w14:paraId="3453229D" w14:textId="40C075EB">
                              <w:pPr>
                                <w:spacing w:after="0" w:line="276" w:lineRule="auto"/>
                                <w:jc w:val="both"/>
                                <w:rPr>
                                  <w:rFonts w:ascii="Verdana" w:hAnsi="Verdana"/>
                                  <w:sz w:val="18"/>
                                  <w:szCs w:val="18"/>
                                </w:rPr>
                              </w:pPr>
                              <w:r w:rsidRPr="00894A80">
                                <w:rPr>
                                  <w:rFonts w:ascii="Verdana" w:hAnsi="Verdana"/>
                                  <w:sz w:val="18"/>
                                  <w:szCs w:val="18"/>
                                </w:rPr>
                                <w:t xml:space="preserve">Dirección: </w:t>
                              </w:r>
                              <w:r w:rsidRPr="00894A80" w:rsidR="0022254F">
                                <w:rPr>
                                  <w:rFonts w:ascii="Verdana" w:hAnsi="Verdana"/>
                                  <w:sz w:val="18"/>
                                  <w:szCs w:val="18"/>
                                </w:rPr>
                                <w:t xml:space="preserve">Calle 37 #8 - 40, Bogotá D.C., Colombia </w:t>
                              </w:r>
                            </w:p>
                            <w:p w:rsidRPr="003A3319" w:rsidR="00D34D20" w:rsidP="00D34D20" w:rsidRDefault="00D34D20" w14:paraId="7463B94C" w14:textId="6C100408">
                              <w:pPr>
                                <w:spacing w:after="0" w:line="276" w:lineRule="auto"/>
                                <w:jc w:val="both"/>
                                <w:rPr>
                                  <w:rFonts w:ascii="Verdana" w:hAnsi="Verdana"/>
                                  <w:sz w:val="18"/>
                                  <w:szCs w:val="18"/>
                                </w:rPr>
                              </w:pPr>
                              <w:r w:rsidRPr="003A3319">
                                <w:rPr>
                                  <w:rFonts w:ascii="Verdana" w:hAnsi="Verdana"/>
                                  <w:sz w:val="18"/>
                                  <w:szCs w:val="18"/>
                                </w:rPr>
                                <w:t xml:space="preserve">Conmutador: (+57) </w:t>
                              </w:r>
                              <w:r w:rsidRPr="003A3319" w:rsidR="0022254F">
                                <w:rPr>
                                  <w:rFonts w:ascii="Verdana" w:hAnsi="Verdana"/>
                                  <w:sz w:val="18"/>
                                  <w:szCs w:val="18"/>
                                </w:rPr>
                                <w:t xml:space="preserve">601 332 3400 - </w:t>
                              </w:r>
                              <w:r w:rsidRPr="0098792B" w:rsidR="0098792B">
                                <w:rPr>
                                  <w:rFonts w:ascii="Verdana" w:hAnsi="Verdana"/>
                                  <w:sz w:val="18"/>
                                  <w:szCs w:val="18"/>
                                </w:rPr>
                                <w:t>3133463676</w:t>
                              </w:r>
                            </w:p>
                            <w:p w:rsidRPr="003A3319" w:rsidR="00D34D20" w:rsidP="00256928" w:rsidRDefault="00D34D20" w14:paraId="3F743D65" w14:textId="03C32F22">
                              <w:pPr>
                                <w:spacing w:after="0" w:line="276" w:lineRule="auto"/>
                                <w:jc w:val="both"/>
                                <w:rPr>
                                  <w:rFonts w:ascii="Verdana" w:hAnsi="Verdana"/>
                                  <w:sz w:val="18"/>
                                  <w:szCs w:val="18"/>
                                </w:rPr>
                              </w:pPr>
                              <w:r w:rsidRPr="003A3319">
                                <w:rPr>
                                  <w:rFonts w:ascii="Verdana" w:hAnsi="Verdana"/>
                                  <w:sz w:val="18"/>
                                  <w:szCs w:val="18"/>
                                </w:rPr>
                                <w:t xml:space="preserve">Línea Gratuita: (+57) </w:t>
                              </w:r>
                              <w:r w:rsidRPr="003A3319" w:rsidR="009E28CB">
                                <w:rPr>
                                  <w:rFonts w:ascii="Verdana" w:hAnsi="Verdana"/>
                                  <w:sz w:val="18"/>
                                  <w:szCs w:val="18"/>
                                </w:rPr>
                                <w:t>01 8000 919301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7AE5F12B">
                  <v:stroke joinstyle="miter"/>
                  <v:path gradientshapeok="t" o:connecttype="rect"/>
                </v:shapetype>
                <v:shape id="Cuadro de texto 1" style="position:absolute;left:0;text-align:left;margin-left:-7.8pt;margin-top:-19.9pt;width:429.75pt;height:96.8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">
                  <v:textbox>
                    <w:txbxContent>
                      <w:p w:rsidRPr="00894A80" w:rsidR="00D34D20" w:rsidP="00D34D20" w:rsidRDefault="00D34D20" w14:paraId="79D92C5A" w14:textId="5628690E">
                        <w:pPr>
                          <w:spacing w:after="0" w:line="276" w:lineRule="auto"/>
                          <w:jc w:val="both"/>
                          <w:rPr>
                            <w:rFonts w:ascii="Helvetica" w:hAnsi="Helvetica"/>
                          </w:rPr>
                        </w:pPr>
                        <w:r w:rsidRPr="00894A80">
                          <w:rPr>
                            <w:rFonts w:ascii="Helvetica" w:hAnsi="Helvetica"/>
                          </w:rPr>
                          <w:t>________________________________________________________________________</w:t>
                        </w:r>
                      </w:p>
                      <w:p w:rsidRPr="00894A80" w:rsidR="00D34D20" w:rsidP="00D34D20" w:rsidRDefault="00726A3B" w14:paraId="1B8765A5" w14:textId="4A83745E">
                        <w:pPr>
                          <w:spacing w:after="0" w:line="276" w:lineRule="auto"/>
                          <w:jc w:val="both"/>
                          <w:rPr>
                            <w:rFonts w:ascii="Verdana" w:hAnsi="Verdana"/>
                            <w:b/>
                            <w:bCs/>
                            <w:sz w:val="18"/>
                            <w:szCs w:val="18"/>
                          </w:rPr>
                        </w:pPr>
                        <w:r w:rsidRPr="00894A80">
                          <w:rPr>
                            <w:rFonts w:ascii="Verdana" w:hAnsi="Verdana"/>
                            <w:b/>
                            <w:bCs/>
                            <w:sz w:val="18"/>
                            <w:szCs w:val="18"/>
                          </w:rPr>
                          <w:t>Ministerio de Ambiente y Desarrollo Sostenible</w:t>
                        </w:r>
                      </w:p>
                      <w:p w:rsidRPr="00894A80" w:rsidR="00D34D20" w:rsidP="00D34D20" w:rsidRDefault="00D34D20" w14:paraId="3453229D" w14:textId="40C075EB">
                        <w:pPr>
                          <w:spacing w:after="0" w:line="276" w:lineRule="auto"/>
                          <w:jc w:val="both"/>
                          <w:rPr>
                            <w:rFonts w:ascii="Verdana" w:hAnsi="Verdana"/>
                            <w:sz w:val="18"/>
                            <w:szCs w:val="18"/>
                          </w:rPr>
                        </w:pPr>
                        <w:r w:rsidRPr="00894A80">
                          <w:rPr>
                            <w:rFonts w:ascii="Verdana" w:hAnsi="Verdana"/>
                            <w:sz w:val="18"/>
                            <w:szCs w:val="18"/>
                          </w:rPr>
                          <w:t xml:space="preserve">Dirección: </w:t>
                        </w:r>
                        <w:r w:rsidRPr="00894A80" w:rsidR="0022254F">
                          <w:rPr>
                            <w:rFonts w:ascii="Verdana" w:hAnsi="Verdana"/>
                            <w:sz w:val="18"/>
                            <w:szCs w:val="18"/>
                          </w:rPr>
                          <w:t xml:space="preserve">Calle 37 #8 - 40, Bogotá D.C., Colombia </w:t>
                        </w:r>
                      </w:p>
                      <w:p w:rsidRPr="003A3319" w:rsidR="00D34D20" w:rsidP="00D34D20" w:rsidRDefault="00D34D20" w14:paraId="7463B94C" w14:textId="6C100408">
                        <w:pPr>
                          <w:spacing w:after="0" w:line="276" w:lineRule="auto"/>
                          <w:jc w:val="both"/>
                          <w:rPr>
                            <w:rFonts w:ascii="Verdana" w:hAnsi="Verdana"/>
                            <w:sz w:val="18"/>
                            <w:szCs w:val="18"/>
                          </w:rPr>
                        </w:pPr>
                        <w:r w:rsidRPr="003A3319">
                          <w:rPr>
                            <w:rFonts w:ascii="Verdana" w:hAnsi="Verdana"/>
                            <w:sz w:val="18"/>
                            <w:szCs w:val="18"/>
                          </w:rPr>
                          <w:t xml:space="preserve">Conmutador: (+57) </w:t>
                        </w:r>
                        <w:r w:rsidRPr="003A3319" w:rsidR="0022254F">
                          <w:rPr>
                            <w:rFonts w:ascii="Verdana" w:hAnsi="Verdana"/>
                            <w:sz w:val="18"/>
                            <w:szCs w:val="18"/>
                          </w:rPr>
                          <w:t xml:space="preserve">601 332 3400 - </w:t>
                        </w:r>
                        <w:r w:rsidRPr="0098792B" w:rsidR="0098792B">
                          <w:rPr>
                            <w:rFonts w:ascii="Verdana" w:hAnsi="Verdana"/>
                            <w:sz w:val="18"/>
                            <w:szCs w:val="18"/>
                          </w:rPr>
                          <w:t>3133463676</w:t>
                        </w:r>
                      </w:p>
                      <w:p w:rsidRPr="003A3319" w:rsidR="00D34D20" w:rsidP="00256928" w:rsidRDefault="00D34D20" w14:paraId="3F743D65" w14:textId="03C32F22">
                        <w:pPr>
                          <w:spacing w:after="0" w:line="276" w:lineRule="auto"/>
                          <w:jc w:val="both"/>
                          <w:rPr>
                            <w:rFonts w:ascii="Verdana" w:hAnsi="Verdana"/>
                            <w:sz w:val="18"/>
                            <w:szCs w:val="18"/>
                          </w:rPr>
                        </w:pPr>
                        <w:r w:rsidRPr="003A3319">
                          <w:rPr>
                            <w:rFonts w:ascii="Verdana" w:hAnsi="Verdana"/>
                            <w:sz w:val="18"/>
                            <w:szCs w:val="18"/>
                          </w:rPr>
                          <w:t xml:space="preserve">Línea Gratuita: (+57) </w:t>
                        </w:r>
                        <w:r w:rsidRPr="003A3319" w:rsidR="009E28CB">
                          <w:rPr>
                            <w:rFonts w:ascii="Verdana" w:hAnsi="Verdana"/>
                            <w:sz w:val="18"/>
                            <w:szCs w:val="18"/>
                          </w:rPr>
                          <w:t>01 8000 919301</w:t>
                        </w:r>
                      </w:p>
                    </w:txbxContent>
                  </v:textbox>
                  <w10:wrap anchorx="margin"/>
                </v:shape>
              </w:pict>
            </mc:Fallback>
          </mc:AlternateContent>
        </w:r>
        <w:r w:rsidRPr="003A3319" w:rsidR="0022254F">
          <w:rPr>
            <w:rFonts w:ascii="Verdana" w:hAnsi="Verdana"/>
            <w:color w:val="000000"/>
            <w:sz w:val="18"/>
            <w:szCs w:val="18"/>
          </w:rPr>
          <w:t xml:space="preserve">Página </w:t>
        </w:r>
        <w:r w:rsidRPr="003A3319" w:rsidR="0022254F">
          <w:rPr>
            <w:rFonts w:ascii="Verdana" w:hAnsi="Verdana"/>
            <w:color w:val="000000"/>
            <w:sz w:val="18"/>
            <w:szCs w:val="18"/>
          </w:rPr>
          <w:fldChar w:fldCharType="begin"/>
        </w:r>
        <w:r w:rsidRPr="003A3319" w:rsidR="0022254F">
          <w:rPr>
            <w:rFonts w:ascii="Verdana" w:hAnsi="Verdana"/>
            <w:color w:val="000000"/>
            <w:sz w:val="18"/>
            <w:szCs w:val="18"/>
          </w:rPr>
          <w:instrText>PAGE   \* MERGEFORMAT</w:instrText>
        </w:r>
        <w:r w:rsidRPr="003A3319" w:rsidR="0022254F">
          <w:rPr>
            <w:rFonts w:ascii="Verdana" w:hAnsi="Verdana"/>
            <w:color w:val="000000"/>
            <w:sz w:val="18"/>
            <w:szCs w:val="18"/>
          </w:rPr>
          <w:fldChar w:fldCharType="separate"/>
        </w:r>
        <w:r w:rsidRPr="003A3319" w:rsidR="0022254F">
          <w:rPr>
            <w:rFonts w:ascii="Verdana" w:hAnsi="Verdana"/>
            <w:color w:val="000000"/>
            <w:sz w:val="18"/>
            <w:szCs w:val="18"/>
          </w:rPr>
          <w:t>2</w:t>
        </w:r>
        <w:r w:rsidRPr="003A3319" w:rsidR="0022254F">
          <w:rPr>
            <w:rFonts w:ascii="Verdana" w:hAnsi="Verdana"/>
            <w:color w:val="000000"/>
            <w:sz w:val="18"/>
            <w:szCs w:val="18"/>
          </w:rPr>
          <w:fldChar w:fldCharType="end"/>
        </w:r>
        <w:r w:rsidRPr="003A3319" w:rsidR="0022254F">
          <w:rPr>
            <w:rFonts w:ascii="Verdana" w:hAnsi="Verdana"/>
            <w:color w:val="000000"/>
            <w:sz w:val="18"/>
            <w:szCs w:val="18"/>
          </w:rPr>
          <w:t xml:space="preserve"> | </w:t>
        </w:r>
        <w:r w:rsidRPr="003A3319" w:rsidR="0022254F">
          <w:rPr>
            <w:rFonts w:ascii="Verdana" w:hAnsi="Verdana"/>
            <w:color w:val="000000"/>
            <w:sz w:val="18"/>
            <w:szCs w:val="18"/>
          </w:rPr>
          <w:fldChar w:fldCharType="begin"/>
        </w:r>
        <w:r w:rsidRPr="003A3319" w:rsidR="0022254F">
          <w:rPr>
            <w:rFonts w:ascii="Verdana" w:hAnsi="Verdana"/>
            <w:color w:val="000000"/>
            <w:sz w:val="18"/>
            <w:szCs w:val="18"/>
          </w:rPr>
          <w:instrText>NUMPAGES  \* Arabic  \* MERGEFORMAT</w:instrText>
        </w:r>
        <w:r w:rsidRPr="003A3319" w:rsidR="0022254F">
          <w:rPr>
            <w:rFonts w:ascii="Verdana" w:hAnsi="Verdana"/>
            <w:color w:val="000000"/>
            <w:sz w:val="18"/>
            <w:szCs w:val="18"/>
          </w:rPr>
          <w:fldChar w:fldCharType="separate"/>
        </w:r>
        <w:r w:rsidRPr="003A3319" w:rsidR="0022254F">
          <w:rPr>
            <w:rFonts w:ascii="Verdana" w:hAnsi="Verdana"/>
            <w:color w:val="000000"/>
            <w:sz w:val="18"/>
            <w:szCs w:val="18"/>
          </w:rPr>
          <w:t>2</w:t>
        </w:r>
        <w:r w:rsidRPr="003A3319" w:rsidR="0022254F">
          <w:rPr>
            <w:rFonts w:ascii="Verdana" w:hAnsi="Verdana"/>
            <w:color w:val="000000"/>
            <w:sz w:val="18"/>
            <w:szCs w:val="18"/>
          </w:rPr>
          <w:fldChar w:fldCharType="end"/>
        </w:r>
      </w:p>
      <w:p w:rsidRPr="003A3319" w:rsidR="0022254F" w:rsidP="0022254F" w:rsidRDefault="006D2335" w14:paraId="2E27CAF7" w14:textId="0F41A7D3">
        <w:pPr>
          <w:pStyle w:val="Piedepgina"/>
          <w:jc w:val="right"/>
          <w:rPr>
            <w:rFonts w:ascii="Verdana" w:hAnsi="Verdana"/>
            <w:color w:val="000000"/>
            <w:sz w:val="18"/>
            <w:szCs w:val="18"/>
          </w:rPr>
        </w:pPr>
      </w:p>
    </w:sdtContent>
  </w:sdt>
  <w:p w:rsidRPr="003A3319" w:rsidR="00EA4BE4" w:rsidP="00EA4BE4" w:rsidRDefault="00EA4BE4" w14:paraId="64D00525" w14:textId="28FD93B2">
    <w:pPr>
      <w:pStyle w:val="Piedepgina"/>
      <w:jc w:val="right"/>
      <w:rPr>
        <w:rFonts w:ascii="Verdana" w:hAnsi="Verdana"/>
        <w:sz w:val="18"/>
        <w:szCs w:val="18"/>
      </w:rPr>
    </w:pPr>
  </w:p>
  <w:p w:rsidRPr="00D34D20" w:rsidR="00D34D20" w:rsidP="00D34D20" w:rsidRDefault="00D34D20" w14:paraId="409F4B9A" w14:textId="79830460">
    <w:pPr>
      <w:spacing w:after="0" w:line="276" w:lineRule="auto"/>
      <w:jc w:val="both"/>
      <w:rPr>
        <w:rFonts w:ascii="Helvetica" w:hAnsi="Helvetic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D2335" w:rsidP="00757B36" w:rsidRDefault="006D2335" w14:paraId="573DB6D5" w14:textId="77777777">
      <w:pPr>
        <w:spacing w:after="0" w:line="240" w:lineRule="auto"/>
      </w:pPr>
      <w:r>
        <w:separator/>
      </w:r>
    </w:p>
  </w:footnote>
  <w:footnote w:type="continuationSeparator" w:id="0">
    <w:p w:rsidR="006D2335" w:rsidP="00757B36" w:rsidRDefault="006D2335" w14:paraId="7CC3FAD5" w14:textId="77777777">
      <w:pPr>
        <w:spacing w:after="0" w:line="240" w:lineRule="auto"/>
      </w:pPr>
      <w:r>
        <w:continuationSeparator/>
      </w:r>
    </w:p>
  </w:footnote>
  <w:footnote w:type="continuationNotice" w:id="1">
    <w:p w:rsidR="006D2335" w:rsidRDefault="006D2335" w14:paraId="5293BA2F"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757B36" w:rsidRDefault="00757B36" w14:paraId="5FF8CE25" w14:textId="77777777">
    <w:pPr>
      <w:pStyle w:val="Encabezado"/>
    </w:pPr>
    <w:r>
      <w:rPr>
        <w:noProof/>
      </w:rPr>
      <w:drawing>
        <wp:anchor distT="0" distB="0" distL="114300" distR="114300" simplePos="0" relativeHeight="251658240" behindDoc="1" locked="0" layoutInCell="1" allowOverlap="1" wp14:anchorId="4B676E97" wp14:editId="174FF380">
          <wp:simplePos x="0" y="0"/>
          <wp:positionH relativeFrom="page">
            <wp:posOffset>6674</wp:posOffset>
          </wp:positionH>
          <wp:positionV relativeFrom="paragraph">
            <wp:posOffset>-436231</wp:posOffset>
          </wp:positionV>
          <wp:extent cx="7756896" cy="10051011"/>
          <wp:effectExtent l="0" t="0" r="0" b="0"/>
          <wp:wrapNone/>
          <wp:docPr id="1202063576" name="Imagen 1202063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56896" cy="10051011"/>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xmlns:w="http://schemas.openxmlformats.org/wordprocessingml/2006/main" w:abstractNumId="23">
    <w:nsid w:val="1e4eb26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Verdana, sans-serif" w:hAnsi="Verdana, sans-serif"/>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2">
    <w:nsid w:val="4941dd6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Verdana, sans-serif" w:hAnsi="Verdana, sans-serif"/>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
    <w:nsid w:val="109ff4a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Verdana, sans-serif" w:hAnsi="Verdana, sans-serif"/>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
    <w:nsid w:val="7847059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Verdana, sans-serif" w:hAnsi="Verdana, sans-serif"/>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47C7F32"/>
    <w:multiLevelType w:val="hybridMultilevel"/>
    <w:tmpl w:val="AD225E18"/>
    <w:lvl w:ilvl="0" w:tplc="3D08D54C">
      <w:start w:val="1"/>
      <w:numFmt w:val="bullet"/>
      <w:pStyle w:val="00BIETA"/>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rPr>
    </w:lvl>
    <w:lvl w:ilvl="8" w:tplc="0C0A0005" w:tentative="1">
      <w:start w:val="1"/>
      <w:numFmt w:val="bullet"/>
      <w:lvlText w:val=""/>
      <w:lvlJc w:val="left"/>
      <w:pPr>
        <w:ind w:left="6480" w:hanging="360"/>
      </w:pPr>
      <w:rPr>
        <w:rFonts w:hint="default" w:ascii="Wingdings" w:hAnsi="Wingdings"/>
      </w:rPr>
    </w:lvl>
  </w:abstractNum>
  <w:abstractNum w:abstractNumId="1" w15:restartNumberingAfterBreak="0">
    <w:nsid w:val="1AC81D8C"/>
    <w:multiLevelType w:val="hybridMultilevel"/>
    <w:tmpl w:val="2090B9A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24E22C4F"/>
    <w:multiLevelType w:val="hybridMultilevel"/>
    <w:tmpl w:val="5A0E5EE0"/>
    <w:lvl w:ilvl="0" w:tplc="240A000B">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25F26BE1"/>
    <w:multiLevelType w:val="hybridMultilevel"/>
    <w:tmpl w:val="D3B09398"/>
    <w:lvl w:ilvl="0" w:tplc="CC7A17A4">
      <w:start w:val="1"/>
      <w:numFmt w:val="bullet"/>
      <w:pStyle w:val="Listaconvietas"/>
      <w:lvlText w:val=""/>
      <w:lvlJc w:val="left"/>
      <w:pPr>
        <w:tabs>
          <w:tab w:val="num" w:pos="5322"/>
        </w:tabs>
        <w:ind w:left="5322" w:hanging="360"/>
      </w:pPr>
      <w:rPr>
        <w:rFonts w:hint="default" w:ascii="Wingdings" w:hAnsi="Wingdings"/>
        <w:color w:val="auto"/>
      </w:rPr>
    </w:lvl>
    <w:lvl w:ilvl="1" w:tplc="0C0A0003" w:tentative="1">
      <w:start w:val="1"/>
      <w:numFmt w:val="bullet"/>
      <w:lvlText w:val="o"/>
      <w:lvlJc w:val="left"/>
      <w:pPr>
        <w:tabs>
          <w:tab w:val="num" w:pos="1440"/>
        </w:tabs>
        <w:ind w:left="1440" w:hanging="360"/>
      </w:pPr>
      <w:rPr>
        <w:rFonts w:hint="default" w:ascii="Courier New" w:hAnsi="Courier New" w:cs="Courier New"/>
      </w:rPr>
    </w:lvl>
    <w:lvl w:ilvl="2" w:tplc="0C0A0005" w:tentative="1">
      <w:start w:val="1"/>
      <w:numFmt w:val="bullet"/>
      <w:lvlText w:val=""/>
      <w:lvlJc w:val="left"/>
      <w:pPr>
        <w:tabs>
          <w:tab w:val="num" w:pos="2160"/>
        </w:tabs>
        <w:ind w:left="2160" w:hanging="360"/>
      </w:pPr>
      <w:rPr>
        <w:rFonts w:hint="default" w:ascii="Wingdings" w:hAnsi="Wingdings"/>
      </w:rPr>
    </w:lvl>
    <w:lvl w:ilvl="3" w:tplc="0C0A0001" w:tentative="1">
      <w:start w:val="1"/>
      <w:numFmt w:val="bullet"/>
      <w:lvlText w:val=""/>
      <w:lvlJc w:val="left"/>
      <w:pPr>
        <w:tabs>
          <w:tab w:val="num" w:pos="2880"/>
        </w:tabs>
        <w:ind w:left="2880" w:hanging="360"/>
      </w:pPr>
      <w:rPr>
        <w:rFonts w:hint="default" w:ascii="Symbol" w:hAnsi="Symbol"/>
      </w:rPr>
    </w:lvl>
    <w:lvl w:ilvl="4" w:tplc="0C0A0003" w:tentative="1">
      <w:start w:val="1"/>
      <w:numFmt w:val="bullet"/>
      <w:lvlText w:val="o"/>
      <w:lvlJc w:val="left"/>
      <w:pPr>
        <w:tabs>
          <w:tab w:val="num" w:pos="3600"/>
        </w:tabs>
        <w:ind w:left="3600" w:hanging="360"/>
      </w:pPr>
      <w:rPr>
        <w:rFonts w:hint="default" w:ascii="Courier New" w:hAnsi="Courier New" w:cs="Courier New"/>
      </w:rPr>
    </w:lvl>
    <w:lvl w:ilvl="5" w:tplc="0C0A0005" w:tentative="1">
      <w:start w:val="1"/>
      <w:numFmt w:val="bullet"/>
      <w:lvlText w:val=""/>
      <w:lvlJc w:val="left"/>
      <w:pPr>
        <w:tabs>
          <w:tab w:val="num" w:pos="4320"/>
        </w:tabs>
        <w:ind w:left="4320" w:hanging="360"/>
      </w:pPr>
      <w:rPr>
        <w:rFonts w:hint="default" w:ascii="Wingdings" w:hAnsi="Wingdings"/>
      </w:rPr>
    </w:lvl>
    <w:lvl w:ilvl="6" w:tplc="0C0A0001" w:tentative="1">
      <w:start w:val="1"/>
      <w:numFmt w:val="bullet"/>
      <w:lvlText w:val=""/>
      <w:lvlJc w:val="left"/>
      <w:pPr>
        <w:tabs>
          <w:tab w:val="num" w:pos="5040"/>
        </w:tabs>
        <w:ind w:left="5040" w:hanging="360"/>
      </w:pPr>
      <w:rPr>
        <w:rFonts w:hint="default" w:ascii="Symbol" w:hAnsi="Symbol"/>
      </w:rPr>
    </w:lvl>
    <w:lvl w:ilvl="7" w:tplc="0C0A0003" w:tentative="1">
      <w:start w:val="1"/>
      <w:numFmt w:val="bullet"/>
      <w:lvlText w:val="o"/>
      <w:lvlJc w:val="left"/>
      <w:pPr>
        <w:tabs>
          <w:tab w:val="num" w:pos="5760"/>
        </w:tabs>
        <w:ind w:left="5760" w:hanging="360"/>
      </w:pPr>
      <w:rPr>
        <w:rFonts w:hint="default" w:ascii="Courier New" w:hAnsi="Courier New" w:cs="Courier New"/>
      </w:rPr>
    </w:lvl>
    <w:lvl w:ilvl="8" w:tplc="0C0A0005" w:tentative="1">
      <w:start w:val="1"/>
      <w:numFmt w:val="bullet"/>
      <w:lvlText w:val=""/>
      <w:lvlJc w:val="left"/>
      <w:pPr>
        <w:tabs>
          <w:tab w:val="num" w:pos="6480"/>
        </w:tabs>
        <w:ind w:left="6480" w:hanging="360"/>
      </w:pPr>
      <w:rPr>
        <w:rFonts w:hint="default" w:ascii="Wingdings" w:hAnsi="Wingdings"/>
      </w:rPr>
    </w:lvl>
  </w:abstractNum>
  <w:abstractNum w:abstractNumId="4" w15:restartNumberingAfterBreak="0">
    <w:nsid w:val="2784221E"/>
    <w:multiLevelType w:val="hybridMultilevel"/>
    <w:tmpl w:val="0616E2A2"/>
    <w:lvl w:ilvl="0" w:tplc="240A000D">
      <w:start w:val="1"/>
      <w:numFmt w:val="bullet"/>
      <w:lvlText w:val=""/>
      <w:lvlJc w:val="left"/>
      <w:pPr>
        <w:ind w:left="780" w:hanging="360"/>
      </w:pPr>
      <w:rPr>
        <w:rFonts w:hint="default" w:ascii="Wingdings" w:hAnsi="Wingdings"/>
      </w:rPr>
    </w:lvl>
    <w:lvl w:ilvl="1" w:tplc="240A0003" w:tentative="1">
      <w:start w:val="1"/>
      <w:numFmt w:val="bullet"/>
      <w:lvlText w:val="o"/>
      <w:lvlJc w:val="left"/>
      <w:pPr>
        <w:ind w:left="1500" w:hanging="360"/>
      </w:pPr>
      <w:rPr>
        <w:rFonts w:hint="default" w:ascii="Courier New" w:hAnsi="Courier New" w:cs="Courier New"/>
      </w:rPr>
    </w:lvl>
    <w:lvl w:ilvl="2" w:tplc="240A0005" w:tentative="1">
      <w:start w:val="1"/>
      <w:numFmt w:val="bullet"/>
      <w:lvlText w:val=""/>
      <w:lvlJc w:val="left"/>
      <w:pPr>
        <w:ind w:left="2220" w:hanging="360"/>
      </w:pPr>
      <w:rPr>
        <w:rFonts w:hint="default" w:ascii="Wingdings" w:hAnsi="Wingdings"/>
      </w:rPr>
    </w:lvl>
    <w:lvl w:ilvl="3" w:tplc="240A0001" w:tentative="1">
      <w:start w:val="1"/>
      <w:numFmt w:val="bullet"/>
      <w:lvlText w:val=""/>
      <w:lvlJc w:val="left"/>
      <w:pPr>
        <w:ind w:left="2940" w:hanging="360"/>
      </w:pPr>
      <w:rPr>
        <w:rFonts w:hint="default" w:ascii="Symbol" w:hAnsi="Symbol"/>
      </w:rPr>
    </w:lvl>
    <w:lvl w:ilvl="4" w:tplc="240A0003" w:tentative="1">
      <w:start w:val="1"/>
      <w:numFmt w:val="bullet"/>
      <w:lvlText w:val="o"/>
      <w:lvlJc w:val="left"/>
      <w:pPr>
        <w:ind w:left="3660" w:hanging="360"/>
      </w:pPr>
      <w:rPr>
        <w:rFonts w:hint="default" w:ascii="Courier New" w:hAnsi="Courier New" w:cs="Courier New"/>
      </w:rPr>
    </w:lvl>
    <w:lvl w:ilvl="5" w:tplc="240A0005" w:tentative="1">
      <w:start w:val="1"/>
      <w:numFmt w:val="bullet"/>
      <w:lvlText w:val=""/>
      <w:lvlJc w:val="left"/>
      <w:pPr>
        <w:ind w:left="4380" w:hanging="360"/>
      </w:pPr>
      <w:rPr>
        <w:rFonts w:hint="default" w:ascii="Wingdings" w:hAnsi="Wingdings"/>
      </w:rPr>
    </w:lvl>
    <w:lvl w:ilvl="6" w:tplc="240A0001" w:tentative="1">
      <w:start w:val="1"/>
      <w:numFmt w:val="bullet"/>
      <w:lvlText w:val=""/>
      <w:lvlJc w:val="left"/>
      <w:pPr>
        <w:ind w:left="5100" w:hanging="360"/>
      </w:pPr>
      <w:rPr>
        <w:rFonts w:hint="default" w:ascii="Symbol" w:hAnsi="Symbol"/>
      </w:rPr>
    </w:lvl>
    <w:lvl w:ilvl="7" w:tplc="240A0003" w:tentative="1">
      <w:start w:val="1"/>
      <w:numFmt w:val="bullet"/>
      <w:lvlText w:val="o"/>
      <w:lvlJc w:val="left"/>
      <w:pPr>
        <w:ind w:left="5820" w:hanging="360"/>
      </w:pPr>
      <w:rPr>
        <w:rFonts w:hint="default" w:ascii="Courier New" w:hAnsi="Courier New" w:cs="Courier New"/>
      </w:rPr>
    </w:lvl>
    <w:lvl w:ilvl="8" w:tplc="240A0005" w:tentative="1">
      <w:start w:val="1"/>
      <w:numFmt w:val="bullet"/>
      <w:lvlText w:val=""/>
      <w:lvlJc w:val="left"/>
      <w:pPr>
        <w:ind w:left="6540" w:hanging="360"/>
      </w:pPr>
      <w:rPr>
        <w:rFonts w:hint="default" w:ascii="Wingdings" w:hAnsi="Wingdings"/>
      </w:rPr>
    </w:lvl>
  </w:abstractNum>
  <w:abstractNum w:abstractNumId="5" w15:restartNumberingAfterBreak="0">
    <w:nsid w:val="30B71858"/>
    <w:multiLevelType w:val="hybridMultilevel"/>
    <w:tmpl w:val="5B822526"/>
    <w:lvl w:ilvl="0" w:tplc="E566FDE2">
      <w:start w:val="2"/>
      <w:numFmt w:val="bullet"/>
      <w:lvlText w:val="-"/>
      <w:lvlJc w:val="left"/>
      <w:pPr>
        <w:ind w:left="720" w:hanging="360"/>
      </w:pPr>
      <w:rPr>
        <w:rFonts w:hint="default" w:ascii="Verdana" w:hAnsi="Verdana" w:eastAsiaTheme="minorEastAsia" w:cstheme="minorBid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 w15:restartNumberingAfterBreak="0">
    <w:nsid w:val="313D2DF0"/>
    <w:multiLevelType w:val="hybridMultilevel"/>
    <w:tmpl w:val="2564DA96"/>
    <w:lvl w:ilvl="0" w:tplc="240A000D">
      <w:start w:val="1"/>
      <w:numFmt w:val="bullet"/>
      <w:lvlText w:val=""/>
      <w:lvlJc w:val="left"/>
      <w:pPr>
        <w:ind w:left="780" w:hanging="360"/>
      </w:pPr>
      <w:rPr>
        <w:rFonts w:hint="default" w:ascii="Wingdings" w:hAnsi="Wingdings"/>
      </w:rPr>
    </w:lvl>
    <w:lvl w:ilvl="1" w:tplc="240A0003" w:tentative="1">
      <w:start w:val="1"/>
      <w:numFmt w:val="bullet"/>
      <w:lvlText w:val="o"/>
      <w:lvlJc w:val="left"/>
      <w:pPr>
        <w:ind w:left="1500" w:hanging="360"/>
      </w:pPr>
      <w:rPr>
        <w:rFonts w:hint="default" w:ascii="Courier New" w:hAnsi="Courier New" w:cs="Courier New"/>
      </w:rPr>
    </w:lvl>
    <w:lvl w:ilvl="2" w:tplc="240A0005" w:tentative="1">
      <w:start w:val="1"/>
      <w:numFmt w:val="bullet"/>
      <w:lvlText w:val=""/>
      <w:lvlJc w:val="left"/>
      <w:pPr>
        <w:ind w:left="2220" w:hanging="360"/>
      </w:pPr>
      <w:rPr>
        <w:rFonts w:hint="default" w:ascii="Wingdings" w:hAnsi="Wingdings"/>
      </w:rPr>
    </w:lvl>
    <w:lvl w:ilvl="3" w:tplc="240A0001" w:tentative="1">
      <w:start w:val="1"/>
      <w:numFmt w:val="bullet"/>
      <w:lvlText w:val=""/>
      <w:lvlJc w:val="left"/>
      <w:pPr>
        <w:ind w:left="2940" w:hanging="360"/>
      </w:pPr>
      <w:rPr>
        <w:rFonts w:hint="default" w:ascii="Symbol" w:hAnsi="Symbol"/>
      </w:rPr>
    </w:lvl>
    <w:lvl w:ilvl="4" w:tplc="240A0003" w:tentative="1">
      <w:start w:val="1"/>
      <w:numFmt w:val="bullet"/>
      <w:lvlText w:val="o"/>
      <w:lvlJc w:val="left"/>
      <w:pPr>
        <w:ind w:left="3660" w:hanging="360"/>
      </w:pPr>
      <w:rPr>
        <w:rFonts w:hint="default" w:ascii="Courier New" w:hAnsi="Courier New" w:cs="Courier New"/>
      </w:rPr>
    </w:lvl>
    <w:lvl w:ilvl="5" w:tplc="240A0005" w:tentative="1">
      <w:start w:val="1"/>
      <w:numFmt w:val="bullet"/>
      <w:lvlText w:val=""/>
      <w:lvlJc w:val="left"/>
      <w:pPr>
        <w:ind w:left="4380" w:hanging="360"/>
      </w:pPr>
      <w:rPr>
        <w:rFonts w:hint="default" w:ascii="Wingdings" w:hAnsi="Wingdings"/>
      </w:rPr>
    </w:lvl>
    <w:lvl w:ilvl="6" w:tplc="240A0001" w:tentative="1">
      <w:start w:val="1"/>
      <w:numFmt w:val="bullet"/>
      <w:lvlText w:val=""/>
      <w:lvlJc w:val="left"/>
      <w:pPr>
        <w:ind w:left="5100" w:hanging="360"/>
      </w:pPr>
      <w:rPr>
        <w:rFonts w:hint="default" w:ascii="Symbol" w:hAnsi="Symbol"/>
      </w:rPr>
    </w:lvl>
    <w:lvl w:ilvl="7" w:tplc="240A0003" w:tentative="1">
      <w:start w:val="1"/>
      <w:numFmt w:val="bullet"/>
      <w:lvlText w:val="o"/>
      <w:lvlJc w:val="left"/>
      <w:pPr>
        <w:ind w:left="5820" w:hanging="360"/>
      </w:pPr>
      <w:rPr>
        <w:rFonts w:hint="default" w:ascii="Courier New" w:hAnsi="Courier New" w:cs="Courier New"/>
      </w:rPr>
    </w:lvl>
    <w:lvl w:ilvl="8" w:tplc="240A0005" w:tentative="1">
      <w:start w:val="1"/>
      <w:numFmt w:val="bullet"/>
      <w:lvlText w:val=""/>
      <w:lvlJc w:val="left"/>
      <w:pPr>
        <w:ind w:left="6540" w:hanging="360"/>
      </w:pPr>
      <w:rPr>
        <w:rFonts w:hint="default" w:ascii="Wingdings" w:hAnsi="Wingdings"/>
      </w:rPr>
    </w:lvl>
  </w:abstractNum>
  <w:abstractNum w:abstractNumId="7" w15:restartNumberingAfterBreak="0">
    <w:nsid w:val="3C9D07C8"/>
    <w:multiLevelType w:val="hybridMultilevel"/>
    <w:tmpl w:val="7876B1B2"/>
    <w:lvl w:ilvl="0" w:tplc="240A0001">
      <w:start w:val="1"/>
      <w:numFmt w:val="bullet"/>
      <w:lvlText w:val=""/>
      <w:lvlJc w:val="left"/>
      <w:pPr>
        <w:ind w:left="1440" w:hanging="360"/>
      </w:pPr>
      <w:rPr>
        <w:rFonts w:hint="default" w:ascii="Symbol" w:hAnsi="Symbol"/>
      </w:rPr>
    </w:lvl>
    <w:lvl w:ilvl="1" w:tplc="240A0003" w:tentative="1">
      <w:start w:val="1"/>
      <w:numFmt w:val="bullet"/>
      <w:lvlText w:val="o"/>
      <w:lvlJc w:val="left"/>
      <w:pPr>
        <w:ind w:left="2160" w:hanging="360"/>
      </w:pPr>
      <w:rPr>
        <w:rFonts w:hint="default" w:ascii="Courier New" w:hAnsi="Courier New" w:cs="Courier New"/>
      </w:rPr>
    </w:lvl>
    <w:lvl w:ilvl="2" w:tplc="240A0005" w:tentative="1">
      <w:start w:val="1"/>
      <w:numFmt w:val="bullet"/>
      <w:lvlText w:val=""/>
      <w:lvlJc w:val="left"/>
      <w:pPr>
        <w:ind w:left="2880" w:hanging="360"/>
      </w:pPr>
      <w:rPr>
        <w:rFonts w:hint="default" w:ascii="Wingdings" w:hAnsi="Wingdings"/>
      </w:rPr>
    </w:lvl>
    <w:lvl w:ilvl="3" w:tplc="240A0001" w:tentative="1">
      <w:start w:val="1"/>
      <w:numFmt w:val="bullet"/>
      <w:lvlText w:val=""/>
      <w:lvlJc w:val="left"/>
      <w:pPr>
        <w:ind w:left="3600" w:hanging="360"/>
      </w:pPr>
      <w:rPr>
        <w:rFonts w:hint="default" w:ascii="Symbol" w:hAnsi="Symbol"/>
      </w:rPr>
    </w:lvl>
    <w:lvl w:ilvl="4" w:tplc="240A0003" w:tentative="1">
      <w:start w:val="1"/>
      <w:numFmt w:val="bullet"/>
      <w:lvlText w:val="o"/>
      <w:lvlJc w:val="left"/>
      <w:pPr>
        <w:ind w:left="4320" w:hanging="360"/>
      </w:pPr>
      <w:rPr>
        <w:rFonts w:hint="default" w:ascii="Courier New" w:hAnsi="Courier New" w:cs="Courier New"/>
      </w:rPr>
    </w:lvl>
    <w:lvl w:ilvl="5" w:tplc="240A0005" w:tentative="1">
      <w:start w:val="1"/>
      <w:numFmt w:val="bullet"/>
      <w:lvlText w:val=""/>
      <w:lvlJc w:val="left"/>
      <w:pPr>
        <w:ind w:left="5040" w:hanging="360"/>
      </w:pPr>
      <w:rPr>
        <w:rFonts w:hint="default" w:ascii="Wingdings" w:hAnsi="Wingdings"/>
      </w:rPr>
    </w:lvl>
    <w:lvl w:ilvl="6" w:tplc="240A0001" w:tentative="1">
      <w:start w:val="1"/>
      <w:numFmt w:val="bullet"/>
      <w:lvlText w:val=""/>
      <w:lvlJc w:val="left"/>
      <w:pPr>
        <w:ind w:left="5760" w:hanging="360"/>
      </w:pPr>
      <w:rPr>
        <w:rFonts w:hint="default" w:ascii="Symbol" w:hAnsi="Symbol"/>
      </w:rPr>
    </w:lvl>
    <w:lvl w:ilvl="7" w:tplc="240A0003" w:tentative="1">
      <w:start w:val="1"/>
      <w:numFmt w:val="bullet"/>
      <w:lvlText w:val="o"/>
      <w:lvlJc w:val="left"/>
      <w:pPr>
        <w:ind w:left="6480" w:hanging="360"/>
      </w:pPr>
      <w:rPr>
        <w:rFonts w:hint="default" w:ascii="Courier New" w:hAnsi="Courier New" w:cs="Courier New"/>
      </w:rPr>
    </w:lvl>
    <w:lvl w:ilvl="8" w:tplc="240A0005" w:tentative="1">
      <w:start w:val="1"/>
      <w:numFmt w:val="bullet"/>
      <w:lvlText w:val=""/>
      <w:lvlJc w:val="left"/>
      <w:pPr>
        <w:ind w:left="7200" w:hanging="360"/>
      </w:pPr>
      <w:rPr>
        <w:rFonts w:hint="default" w:ascii="Wingdings" w:hAnsi="Wingdings"/>
      </w:rPr>
    </w:lvl>
  </w:abstractNum>
  <w:abstractNum w:abstractNumId="8" w15:restartNumberingAfterBreak="0">
    <w:nsid w:val="3D6509EB"/>
    <w:multiLevelType w:val="hybridMultilevel"/>
    <w:tmpl w:val="D8CA6BC0"/>
    <w:lvl w:ilvl="0" w:tplc="4636F36A">
      <w:start w:val="1"/>
      <w:numFmt w:val="bullet"/>
      <w:pStyle w:val="00BIETALNEA"/>
      <w:lvlText w:val=""/>
      <w:lvlJc w:val="left"/>
      <w:pPr>
        <w:ind w:left="720" w:hanging="360"/>
      </w:pPr>
      <w:rPr>
        <w:rFonts w:hint="default" w:ascii="Symbol" w:hAnsi="Symbol"/>
        <w:sz w:val="22"/>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 w15:restartNumberingAfterBreak="0">
    <w:nsid w:val="3FB5481C"/>
    <w:multiLevelType w:val="hybridMultilevel"/>
    <w:tmpl w:val="024C730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43997C33"/>
    <w:multiLevelType w:val="hybridMultilevel"/>
    <w:tmpl w:val="A2E4B69E"/>
    <w:lvl w:ilvl="0" w:tplc="9230E6FA">
      <w:start w:val="1"/>
      <w:numFmt w:val="decimal"/>
      <w:pStyle w:val="FIGURA"/>
      <w:lvlText w:val="Figura %1.  "/>
      <w:lvlJc w:val="left"/>
      <w:pPr>
        <w:ind w:left="1070" w:hanging="360"/>
      </w:pPr>
      <w:rPr>
        <w:rFonts w:hint="default"/>
        <w:b w:val="0"/>
        <w:bCs w:val="0"/>
        <w:i w:val="0"/>
        <w:iCs w:val="0"/>
        <w:caps w:val="0"/>
        <w:smallCaps w:val="0"/>
        <w:strike w:val="0"/>
        <w:dstrike w:val="0"/>
        <w:vanish w:val="0"/>
        <w:color w:val="000000"/>
        <w:spacing w:val="0"/>
        <w:kern w:val="0"/>
        <w:position w:val="0"/>
        <w:sz w:val="22"/>
        <w:szCs w:val="22"/>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5E6A8E2A" w:tentative="1">
      <w:start w:val="1"/>
      <w:numFmt w:val="lowerLetter"/>
      <w:lvlText w:val="%2."/>
      <w:lvlJc w:val="left"/>
      <w:pPr>
        <w:ind w:left="3077" w:hanging="360"/>
      </w:pPr>
    </w:lvl>
    <w:lvl w:ilvl="2" w:tplc="7AD82EA6" w:tentative="1">
      <w:start w:val="1"/>
      <w:numFmt w:val="lowerRoman"/>
      <w:lvlText w:val="%3."/>
      <w:lvlJc w:val="right"/>
      <w:pPr>
        <w:ind w:left="3797" w:hanging="180"/>
      </w:pPr>
    </w:lvl>
    <w:lvl w:ilvl="3" w:tplc="FF92315C" w:tentative="1">
      <w:start w:val="1"/>
      <w:numFmt w:val="decimal"/>
      <w:lvlText w:val="%4."/>
      <w:lvlJc w:val="left"/>
      <w:pPr>
        <w:ind w:left="4517" w:hanging="360"/>
      </w:pPr>
    </w:lvl>
    <w:lvl w:ilvl="4" w:tplc="FD6E1D68" w:tentative="1">
      <w:start w:val="1"/>
      <w:numFmt w:val="lowerLetter"/>
      <w:lvlText w:val="%5."/>
      <w:lvlJc w:val="left"/>
      <w:pPr>
        <w:ind w:left="5237" w:hanging="360"/>
      </w:pPr>
    </w:lvl>
    <w:lvl w:ilvl="5" w:tplc="9DC2A570" w:tentative="1">
      <w:start w:val="1"/>
      <w:numFmt w:val="lowerRoman"/>
      <w:lvlText w:val="%6."/>
      <w:lvlJc w:val="right"/>
      <w:pPr>
        <w:ind w:left="5957" w:hanging="180"/>
      </w:pPr>
    </w:lvl>
    <w:lvl w:ilvl="6" w:tplc="476691C0" w:tentative="1">
      <w:start w:val="1"/>
      <w:numFmt w:val="decimal"/>
      <w:lvlText w:val="%7."/>
      <w:lvlJc w:val="left"/>
      <w:pPr>
        <w:ind w:left="6677" w:hanging="360"/>
      </w:pPr>
    </w:lvl>
    <w:lvl w:ilvl="7" w:tplc="F104E9F6" w:tentative="1">
      <w:start w:val="1"/>
      <w:numFmt w:val="lowerLetter"/>
      <w:lvlText w:val="%8."/>
      <w:lvlJc w:val="left"/>
      <w:pPr>
        <w:ind w:left="7397" w:hanging="360"/>
      </w:pPr>
    </w:lvl>
    <w:lvl w:ilvl="8" w:tplc="24E0F14C" w:tentative="1">
      <w:start w:val="1"/>
      <w:numFmt w:val="lowerRoman"/>
      <w:lvlText w:val="%9."/>
      <w:lvlJc w:val="right"/>
      <w:pPr>
        <w:ind w:left="8117" w:hanging="180"/>
      </w:pPr>
    </w:lvl>
  </w:abstractNum>
  <w:abstractNum w:abstractNumId="11" w15:restartNumberingAfterBreak="0">
    <w:nsid w:val="49EF24D1"/>
    <w:multiLevelType w:val="hybridMultilevel"/>
    <w:tmpl w:val="2DB6E9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50906CE2"/>
    <w:multiLevelType w:val="hybridMultilevel"/>
    <w:tmpl w:val="92846B66"/>
    <w:lvl w:ilvl="0" w:tplc="E94EDA06">
      <w:start w:val="1"/>
      <w:numFmt w:val="bullet"/>
      <w:pStyle w:val="ListaTitulo6"/>
      <w:lvlText w:val=""/>
      <w:lvlJc w:val="left"/>
      <w:pPr>
        <w:tabs>
          <w:tab w:val="num" w:pos="717"/>
        </w:tabs>
        <w:ind w:left="717" w:hanging="360"/>
      </w:pPr>
      <w:rPr>
        <w:rFonts w:hint="default" w:ascii="Symbol" w:hAnsi="Symbol"/>
      </w:rPr>
    </w:lvl>
    <w:lvl w:ilvl="1" w:tplc="0C0A0019" w:tentative="1">
      <w:start w:val="1"/>
      <w:numFmt w:val="bullet"/>
      <w:lvlText w:val="o"/>
      <w:lvlJc w:val="left"/>
      <w:pPr>
        <w:tabs>
          <w:tab w:val="num" w:pos="1440"/>
        </w:tabs>
        <w:ind w:left="1440" w:hanging="360"/>
      </w:pPr>
      <w:rPr>
        <w:rFonts w:hint="default" w:ascii="Courier New" w:hAnsi="Courier New" w:cs="Courier New"/>
      </w:rPr>
    </w:lvl>
    <w:lvl w:ilvl="2" w:tplc="0C0A001B" w:tentative="1">
      <w:start w:val="1"/>
      <w:numFmt w:val="bullet"/>
      <w:lvlText w:val=""/>
      <w:lvlJc w:val="left"/>
      <w:pPr>
        <w:tabs>
          <w:tab w:val="num" w:pos="2160"/>
        </w:tabs>
        <w:ind w:left="2160" w:hanging="360"/>
      </w:pPr>
      <w:rPr>
        <w:rFonts w:hint="default" w:ascii="Wingdings" w:hAnsi="Wingdings"/>
      </w:rPr>
    </w:lvl>
    <w:lvl w:ilvl="3" w:tplc="0C0A000F" w:tentative="1">
      <w:start w:val="1"/>
      <w:numFmt w:val="bullet"/>
      <w:lvlText w:val=""/>
      <w:lvlJc w:val="left"/>
      <w:pPr>
        <w:tabs>
          <w:tab w:val="num" w:pos="2880"/>
        </w:tabs>
        <w:ind w:left="2880" w:hanging="360"/>
      </w:pPr>
      <w:rPr>
        <w:rFonts w:hint="default" w:ascii="Symbol" w:hAnsi="Symbol"/>
      </w:rPr>
    </w:lvl>
    <w:lvl w:ilvl="4" w:tplc="0C0A0019" w:tentative="1">
      <w:start w:val="1"/>
      <w:numFmt w:val="bullet"/>
      <w:lvlText w:val="o"/>
      <w:lvlJc w:val="left"/>
      <w:pPr>
        <w:tabs>
          <w:tab w:val="num" w:pos="3600"/>
        </w:tabs>
        <w:ind w:left="3600" w:hanging="360"/>
      </w:pPr>
      <w:rPr>
        <w:rFonts w:hint="default" w:ascii="Courier New" w:hAnsi="Courier New" w:cs="Courier New"/>
      </w:rPr>
    </w:lvl>
    <w:lvl w:ilvl="5" w:tplc="0C0A001B" w:tentative="1">
      <w:start w:val="1"/>
      <w:numFmt w:val="bullet"/>
      <w:lvlText w:val=""/>
      <w:lvlJc w:val="left"/>
      <w:pPr>
        <w:tabs>
          <w:tab w:val="num" w:pos="4320"/>
        </w:tabs>
        <w:ind w:left="4320" w:hanging="360"/>
      </w:pPr>
      <w:rPr>
        <w:rFonts w:hint="default" w:ascii="Wingdings" w:hAnsi="Wingdings"/>
      </w:rPr>
    </w:lvl>
    <w:lvl w:ilvl="6" w:tplc="0C0A000F" w:tentative="1">
      <w:start w:val="1"/>
      <w:numFmt w:val="bullet"/>
      <w:lvlText w:val=""/>
      <w:lvlJc w:val="left"/>
      <w:pPr>
        <w:tabs>
          <w:tab w:val="num" w:pos="5040"/>
        </w:tabs>
        <w:ind w:left="5040" w:hanging="360"/>
      </w:pPr>
      <w:rPr>
        <w:rFonts w:hint="default" w:ascii="Symbol" w:hAnsi="Symbol"/>
      </w:rPr>
    </w:lvl>
    <w:lvl w:ilvl="7" w:tplc="0C0A0019" w:tentative="1">
      <w:start w:val="1"/>
      <w:numFmt w:val="bullet"/>
      <w:lvlText w:val="o"/>
      <w:lvlJc w:val="left"/>
      <w:pPr>
        <w:tabs>
          <w:tab w:val="num" w:pos="5760"/>
        </w:tabs>
        <w:ind w:left="5760" w:hanging="360"/>
      </w:pPr>
      <w:rPr>
        <w:rFonts w:hint="default" w:ascii="Courier New" w:hAnsi="Courier New" w:cs="Courier New"/>
      </w:rPr>
    </w:lvl>
    <w:lvl w:ilvl="8" w:tplc="0C0A001B" w:tentative="1">
      <w:start w:val="1"/>
      <w:numFmt w:val="bullet"/>
      <w:lvlText w:val=""/>
      <w:lvlJc w:val="left"/>
      <w:pPr>
        <w:tabs>
          <w:tab w:val="num" w:pos="6480"/>
        </w:tabs>
        <w:ind w:left="6480" w:hanging="360"/>
      </w:pPr>
      <w:rPr>
        <w:rFonts w:hint="default" w:ascii="Wingdings" w:hAnsi="Wingdings"/>
      </w:rPr>
    </w:lvl>
  </w:abstractNum>
  <w:abstractNum w:abstractNumId="13" w15:restartNumberingAfterBreak="0">
    <w:nsid w:val="56902272"/>
    <w:multiLevelType w:val="hybridMultilevel"/>
    <w:tmpl w:val="C910FD22"/>
    <w:lvl w:ilvl="0" w:tplc="497EE32A">
      <w:start w:val="1"/>
      <w:numFmt w:val="decimal"/>
      <w:lvlText w:val="%1."/>
      <w:lvlJc w:val="left"/>
      <w:pPr>
        <w:ind w:left="720" w:hanging="360"/>
      </w:pPr>
      <w:rPr>
        <w:rFonts w:hint="default"/>
        <w:b/>
        <w:color w:val="000000"/>
        <w:sz w:val="22"/>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6562302A"/>
    <w:multiLevelType w:val="hybridMultilevel"/>
    <w:tmpl w:val="FE16261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5" w15:restartNumberingAfterBreak="0">
    <w:nsid w:val="66D71D3A"/>
    <w:multiLevelType w:val="multilevel"/>
    <w:tmpl w:val="09B6F8C4"/>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abstractNum w:abstractNumId="16" w15:restartNumberingAfterBreak="0">
    <w:nsid w:val="693B432C"/>
    <w:multiLevelType w:val="multilevel"/>
    <w:tmpl w:val="2908722E"/>
    <w:lvl w:ilvl="0">
      <w:start w:val="3"/>
      <w:numFmt w:val="decimal"/>
      <w:lvlText w:val="%1."/>
      <w:lvlJc w:val="left"/>
      <w:pPr>
        <w:ind w:left="644" w:hanging="360"/>
      </w:pPr>
      <w:rPr>
        <w:rFonts w:hint="default"/>
        <w:b/>
      </w:rPr>
    </w:lvl>
    <w:lvl w:ilvl="1">
      <w:start w:val="1"/>
      <w:numFmt w:val="decimal"/>
      <w:isLgl/>
      <w:lvlText w:val="%1.%2."/>
      <w:lvlJc w:val="left"/>
      <w:pPr>
        <w:ind w:left="1353"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6DB86A51"/>
    <w:multiLevelType w:val="multilevel"/>
    <w:tmpl w:val="CC02137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74290AFC"/>
    <w:multiLevelType w:val="multilevel"/>
    <w:tmpl w:val="CD6C1C08"/>
    <w:lvl w:ilvl="0">
      <w:start w:val="1"/>
      <w:numFmt w:val="decimal"/>
      <w:pStyle w:val="Estilo1"/>
      <w:lvlText w:val="%1."/>
      <w:lvlJc w:val="left"/>
      <w:pPr>
        <w:ind w:left="720" w:hanging="360"/>
      </w:pPr>
    </w:lvl>
    <w:lvl w:ilvl="1">
      <w:start w:val="1"/>
      <w:numFmt w:val="decimal"/>
      <w:pStyle w:val="Estilo4"/>
      <w:isLgl/>
      <w:lvlText w:val="%1.%2."/>
      <w:lvlJc w:val="left"/>
      <w:pPr>
        <w:ind w:left="1440" w:hanging="720"/>
      </w:pPr>
      <w:rPr>
        <w:rFonts w:hint="default"/>
      </w:rPr>
    </w:lvl>
    <w:lvl w:ilvl="2">
      <w:start w:val="1"/>
      <w:numFmt w:val="decimal"/>
      <w:pStyle w:val="Estilo5"/>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abstractNum w:abstractNumId="19" w15:restartNumberingAfterBreak="0">
    <w:nsid w:val="78C31F33"/>
    <w:multiLevelType w:val="hybridMultilevel"/>
    <w:tmpl w:val="1BA87BBE"/>
    <w:lvl w:ilvl="0" w:tplc="A3325CE4">
      <w:start w:val="1"/>
      <w:numFmt w:val="decimal"/>
      <w:pStyle w:val="TABLA"/>
      <w:lvlText w:val="Tabla %1. "/>
      <w:lvlJc w:val="left"/>
      <w:pPr>
        <w:ind w:left="1211" w:hanging="360"/>
      </w:pPr>
      <w:rPr>
        <w:rFonts w:hint="default" w:ascii="Arial Narrow" w:hAnsi="Arial Narrow"/>
        <w:b w:val="0"/>
        <w:i w:val="0"/>
        <w:caps w:val="0"/>
        <w:strike w:val="0"/>
        <w:dstrike w:val="0"/>
        <w:vanish w:val="0"/>
        <w:color w:val="auto"/>
        <w:sz w:val="22"/>
        <w:szCs w:val="22"/>
        <w:vertAlign w:val="baseline"/>
        <w14:shadow w14:blurRad="0" w14:dist="0" w14:dir="0" w14:sx="0" w14:sy="0" w14:kx="0" w14:ky="0" w14:algn="none">
          <w14:srgbClr w14:val="000000"/>
        </w14:shadow>
        <w14:textOutline w14:w="0" w14:cap="rnd" w14:cmpd="sng" w14:algn="ctr">
          <w14:noFill/>
          <w14:prstDash w14:val="solid"/>
          <w14:bevel/>
        </w14:textOutline>
      </w:rPr>
    </w:lvl>
    <w:lvl w:ilvl="1" w:tplc="3440073E" w:tentative="1">
      <w:start w:val="1"/>
      <w:numFmt w:val="lowerLetter"/>
      <w:lvlText w:val="%2."/>
      <w:lvlJc w:val="left"/>
      <w:pPr>
        <w:ind w:left="2291" w:hanging="360"/>
      </w:pPr>
    </w:lvl>
    <w:lvl w:ilvl="2" w:tplc="2724EE8E" w:tentative="1">
      <w:start w:val="1"/>
      <w:numFmt w:val="lowerRoman"/>
      <w:lvlText w:val="%3."/>
      <w:lvlJc w:val="right"/>
      <w:pPr>
        <w:ind w:left="3011" w:hanging="180"/>
      </w:pPr>
    </w:lvl>
    <w:lvl w:ilvl="3" w:tplc="40544B84" w:tentative="1">
      <w:start w:val="1"/>
      <w:numFmt w:val="decimal"/>
      <w:lvlText w:val="%4."/>
      <w:lvlJc w:val="left"/>
      <w:pPr>
        <w:ind w:left="3731" w:hanging="360"/>
      </w:pPr>
    </w:lvl>
    <w:lvl w:ilvl="4" w:tplc="97E48EDE" w:tentative="1">
      <w:start w:val="1"/>
      <w:numFmt w:val="lowerLetter"/>
      <w:lvlText w:val="%5."/>
      <w:lvlJc w:val="left"/>
      <w:pPr>
        <w:ind w:left="4451" w:hanging="360"/>
      </w:pPr>
    </w:lvl>
    <w:lvl w:ilvl="5" w:tplc="48566390" w:tentative="1">
      <w:start w:val="1"/>
      <w:numFmt w:val="lowerRoman"/>
      <w:lvlText w:val="%6."/>
      <w:lvlJc w:val="right"/>
      <w:pPr>
        <w:ind w:left="5171" w:hanging="180"/>
      </w:pPr>
    </w:lvl>
    <w:lvl w:ilvl="6" w:tplc="222EA10A" w:tentative="1">
      <w:start w:val="1"/>
      <w:numFmt w:val="decimal"/>
      <w:lvlText w:val="%7."/>
      <w:lvlJc w:val="left"/>
      <w:pPr>
        <w:ind w:left="5891" w:hanging="360"/>
      </w:pPr>
    </w:lvl>
    <w:lvl w:ilvl="7" w:tplc="846ED91E" w:tentative="1">
      <w:start w:val="1"/>
      <w:numFmt w:val="lowerLetter"/>
      <w:lvlText w:val="%8."/>
      <w:lvlJc w:val="left"/>
      <w:pPr>
        <w:ind w:left="6611" w:hanging="360"/>
      </w:pPr>
    </w:lvl>
    <w:lvl w:ilvl="8" w:tplc="DEDC5FFC" w:tentative="1">
      <w:start w:val="1"/>
      <w:numFmt w:val="lowerRoman"/>
      <w:lvlText w:val="%9."/>
      <w:lvlJc w:val="right"/>
      <w:pPr>
        <w:ind w:left="7331" w:hanging="180"/>
      </w:pPr>
    </w:lvl>
  </w:abstractNum>
  <w:num w:numId="24">
    <w:abstractNumId w:val="23"/>
  </w:num>
  <w:num w:numId="23">
    <w:abstractNumId w:val="22"/>
  </w:num>
  <w:num w:numId="22">
    <w:abstractNumId w:val="21"/>
  </w:num>
  <w:num w:numId="21">
    <w:abstractNumId w:val="20"/>
  </w:num>
  <w:num w:numId="1">
    <w:abstractNumId w:val="17"/>
  </w:num>
  <w:num w:numId="2">
    <w:abstractNumId w:val="3"/>
  </w:num>
  <w:num w:numId="3">
    <w:abstractNumId w:val="12"/>
  </w:num>
  <w:num w:numId="4">
    <w:abstractNumId w:val="19"/>
  </w:num>
  <w:num w:numId="5">
    <w:abstractNumId w:val="10"/>
  </w:num>
  <w:num w:numId="6">
    <w:abstractNumId w:val="0"/>
  </w:num>
  <w:num w:numId="7">
    <w:abstractNumId w:val="8"/>
  </w:num>
  <w:num w:numId="8">
    <w:abstractNumId w:val="16"/>
  </w:num>
  <w:num w:numId="9">
    <w:abstractNumId w:val="6"/>
  </w:num>
  <w:num w:numId="10">
    <w:abstractNumId w:val="13"/>
  </w:num>
  <w:num w:numId="11">
    <w:abstractNumId w:val="4"/>
  </w:num>
  <w:num w:numId="12">
    <w:abstractNumId w:val="2"/>
  </w:num>
  <w:num w:numId="13">
    <w:abstractNumId w:val="7"/>
  </w:num>
  <w:num w:numId="14">
    <w:abstractNumId w:val="18"/>
  </w:num>
  <w:num w:numId="15">
    <w:abstractNumId w:val="9"/>
  </w:num>
  <w:num w:numId="16">
    <w:abstractNumId w:val="14"/>
  </w:num>
  <w:num w:numId="17">
    <w:abstractNumId w:val="1"/>
  </w:num>
  <w:num w:numId="18">
    <w:abstractNumId w:val="5"/>
  </w:num>
  <w:num w:numId="19">
    <w:abstractNumId w:val="15"/>
  </w:num>
  <w:num w:numId="20">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dirty"/>
  <w:trackRevisions w:val="false"/>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01686"/>
    <w:rsid w:val="000057F1"/>
    <w:rsid w:val="000059E8"/>
    <w:rsid w:val="00006791"/>
    <w:rsid w:val="00011353"/>
    <w:rsid w:val="00011EA2"/>
    <w:rsid w:val="000125F9"/>
    <w:rsid w:val="000142DD"/>
    <w:rsid w:val="00015792"/>
    <w:rsid w:val="00015E02"/>
    <w:rsid w:val="0001727F"/>
    <w:rsid w:val="0001797A"/>
    <w:rsid w:val="00017BC6"/>
    <w:rsid w:val="00022004"/>
    <w:rsid w:val="00026CD3"/>
    <w:rsid w:val="00035296"/>
    <w:rsid w:val="000364DA"/>
    <w:rsid w:val="000425A3"/>
    <w:rsid w:val="00043329"/>
    <w:rsid w:val="00051D6D"/>
    <w:rsid w:val="000522CF"/>
    <w:rsid w:val="000579C9"/>
    <w:rsid w:val="00060E36"/>
    <w:rsid w:val="000611E1"/>
    <w:rsid w:val="00062A95"/>
    <w:rsid w:val="0006306D"/>
    <w:rsid w:val="00063224"/>
    <w:rsid w:val="00064F48"/>
    <w:rsid w:val="00075207"/>
    <w:rsid w:val="00080B76"/>
    <w:rsid w:val="00082E5B"/>
    <w:rsid w:val="00087252"/>
    <w:rsid w:val="00094A97"/>
    <w:rsid w:val="000969E6"/>
    <w:rsid w:val="000A367D"/>
    <w:rsid w:val="000A5038"/>
    <w:rsid w:val="000A5861"/>
    <w:rsid w:val="000A61C2"/>
    <w:rsid w:val="000A71C2"/>
    <w:rsid w:val="000B0719"/>
    <w:rsid w:val="000B0CA4"/>
    <w:rsid w:val="000B1E8B"/>
    <w:rsid w:val="000B5B22"/>
    <w:rsid w:val="000B7049"/>
    <w:rsid w:val="000C262E"/>
    <w:rsid w:val="000C3932"/>
    <w:rsid w:val="000C558F"/>
    <w:rsid w:val="000D1FF6"/>
    <w:rsid w:val="000D5124"/>
    <w:rsid w:val="000D545E"/>
    <w:rsid w:val="000E65D0"/>
    <w:rsid w:val="000E76A2"/>
    <w:rsid w:val="000F001B"/>
    <w:rsid w:val="000F2BA4"/>
    <w:rsid w:val="000F3CBD"/>
    <w:rsid w:val="000F420C"/>
    <w:rsid w:val="001033F0"/>
    <w:rsid w:val="00113251"/>
    <w:rsid w:val="0011447C"/>
    <w:rsid w:val="001146CE"/>
    <w:rsid w:val="00115E2E"/>
    <w:rsid w:val="00122ECD"/>
    <w:rsid w:val="001243C3"/>
    <w:rsid w:val="00124C72"/>
    <w:rsid w:val="00135DBA"/>
    <w:rsid w:val="00136072"/>
    <w:rsid w:val="00141A90"/>
    <w:rsid w:val="00141F0F"/>
    <w:rsid w:val="00144373"/>
    <w:rsid w:val="00144CFB"/>
    <w:rsid w:val="00152412"/>
    <w:rsid w:val="00156845"/>
    <w:rsid w:val="00156C1C"/>
    <w:rsid w:val="0016196A"/>
    <w:rsid w:val="001632A7"/>
    <w:rsid w:val="00164AF8"/>
    <w:rsid w:val="00167A6C"/>
    <w:rsid w:val="001717AC"/>
    <w:rsid w:val="00176572"/>
    <w:rsid w:val="00184E60"/>
    <w:rsid w:val="00186D1D"/>
    <w:rsid w:val="00190E3D"/>
    <w:rsid w:val="00192DFF"/>
    <w:rsid w:val="001A12A6"/>
    <w:rsid w:val="001A1850"/>
    <w:rsid w:val="001A3122"/>
    <w:rsid w:val="001A3AA5"/>
    <w:rsid w:val="001A498F"/>
    <w:rsid w:val="001A5A31"/>
    <w:rsid w:val="001A6954"/>
    <w:rsid w:val="001B15E9"/>
    <w:rsid w:val="001B2479"/>
    <w:rsid w:val="001B54DE"/>
    <w:rsid w:val="001B6056"/>
    <w:rsid w:val="001B62BF"/>
    <w:rsid w:val="001B7762"/>
    <w:rsid w:val="001C3196"/>
    <w:rsid w:val="001C3795"/>
    <w:rsid w:val="001C3966"/>
    <w:rsid w:val="001C4A60"/>
    <w:rsid w:val="001C62DA"/>
    <w:rsid w:val="001C6BBB"/>
    <w:rsid w:val="001D05A9"/>
    <w:rsid w:val="001D1C28"/>
    <w:rsid w:val="001D49CD"/>
    <w:rsid w:val="001D4AEF"/>
    <w:rsid w:val="001D55E7"/>
    <w:rsid w:val="001D6174"/>
    <w:rsid w:val="001E2AD6"/>
    <w:rsid w:val="001E55BE"/>
    <w:rsid w:val="001E6416"/>
    <w:rsid w:val="001F2C56"/>
    <w:rsid w:val="001F64C7"/>
    <w:rsid w:val="001F7CED"/>
    <w:rsid w:val="00200225"/>
    <w:rsid w:val="002211A4"/>
    <w:rsid w:val="002214D6"/>
    <w:rsid w:val="0022254F"/>
    <w:rsid w:val="00224143"/>
    <w:rsid w:val="00224F18"/>
    <w:rsid w:val="002266AE"/>
    <w:rsid w:val="00226C35"/>
    <w:rsid w:val="00232FA6"/>
    <w:rsid w:val="002334F4"/>
    <w:rsid w:val="00233769"/>
    <w:rsid w:val="00233989"/>
    <w:rsid w:val="00233F86"/>
    <w:rsid w:val="0023564A"/>
    <w:rsid w:val="002421CE"/>
    <w:rsid w:val="00243A23"/>
    <w:rsid w:val="00244854"/>
    <w:rsid w:val="002479DD"/>
    <w:rsid w:val="002501FE"/>
    <w:rsid w:val="00251863"/>
    <w:rsid w:val="002535F7"/>
    <w:rsid w:val="00255542"/>
    <w:rsid w:val="00256928"/>
    <w:rsid w:val="00256ECC"/>
    <w:rsid w:val="00256F24"/>
    <w:rsid w:val="002607F4"/>
    <w:rsid w:val="00261E28"/>
    <w:rsid w:val="00263239"/>
    <w:rsid w:val="0026377C"/>
    <w:rsid w:val="00265731"/>
    <w:rsid w:val="002669F3"/>
    <w:rsid w:val="002673EF"/>
    <w:rsid w:val="0026797C"/>
    <w:rsid w:val="00271CB0"/>
    <w:rsid w:val="00273BA2"/>
    <w:rsid w:val="002857AF"/>
    <w:rsid w:val="00286556"/>
    <w:rsid w:val="00290BE0"/>
    <w:rsid w:val="00291305"/>
    <w:rsid w:val="00292531"/>
    <w:rsid w:val="002930CA"/>
    <w:rsid w:val="00296A31"/>
    <w:rsid w:val="002A1FEA"/>
    <w:rsid w:val="002A3CC6"/>
    <w:rsid w:val="002A6630"/>
    <w:rsid w:val="002B035E"/>
    <w:rsid w:val="002B3876"/>
    <w:rsid w:val="002B3DC5"/>
    <w:rsid w:val="002B6B22"/>
    <w:rsid w:val="002C02A8"/>
    <w:rsid w:val="002C02E1"/>
    <w:rsid w:val="002C26CD"/>
    <w:rsid w:val="002C5F90"/>
    <w:rsid w:val="002D0758"/>
    <w:rsid w:val="002D1099"/>
    <w:rsid w:val="002D11FC"/>
    <w:rsid w:val="002D2222"/>
    <w:rsid w:val="002D31F7"/>
    <w:rsid w:val="002D4490"/>
    <w:rsid w:val="002D6282"/>
    <w:rsid w:val="002D65A1"/>
    <w:rsid w:val="002E1EC9"/>
    <w:rsid w:val="002E3890"/>
    <w:rsid w:val="002E5B61"/>
    <w:rsid w:val="002E7B9B"/>
    <w:rsid w:val="002F2884"/>
    <w:rsid w:val="002F43FA"/>
    <w:rsid w:val="002F5D12"/>
    <w:rsid w:val="002F7F60"/>
    <w:rsid w:val="003023C4"/>
    <w:rsid w:val="0030261A"/>
    <w:rsid w:val="0030375E"/>
    <w:rsid w:val="003039F8"/>
    <w:rsid w:val="00303DEB"/>
    <w:rsid w:val="00304074"/>
    <w:rsid w:val="0030489C"/>
    <w:rsid w:val="00315BB7"/>
    <w:rsid w:val="0031784E"/>
    <w:rsid w:val="00322ED4"/>
    <w:rsid w:val="00325AE2"/>
    <w:rsid w:val="00327BCF"/>
    <w:rsid w:val="003352D8"/>
    <w:rsid w:val="0033572D"/>
    <w:rsid w:val="00335D84"/>
    <w:rsid w:val="00340552"/>
    <w:rsid w:val="0034074C"/>
    <w:rsid w:val="00343F1F"/>
    <w:rsid w:val="00351F97"/>
    <w:rsid w:val="0035240F"/>
    <w:rsid w:val="003537BC"/>
    <w:rsid w:val="00360A66"/>
    <w:rsid w:val="0036153B"/>
    <w:rsid w:val="003624BC"/>
    <w:rsid w:val="00364A38"/>
    <w:rsid w:val="00365B09"/>
    <w:rsid w:val="00372D84"/>
    <w:rsid w:val="003732B3"/>
    <w:rsid w:val="003738CE"/>
    <w:rsid w:val="00374381"/>
    <w:rsid w:val="003762C3"/>
    <w:rsid w:val="00377B73"/>
    <w:rsid w:val="00381690"/>
    <w:rsid w:val="00384A31"/>
    <w:rsid w:val="00385279"/>
    <w:rsid w:val="00386C75"/>
    <w:rsid w:val="00390BB1"/>
    <w:rsid w:val="003A308F"/>
    <w:rsid w:val="003A3319"/>
    <w:rsid w:val="003A3CDC"/>
    <w:rsid w:val="003A4594"/>
    <w:rsid w:val="003B1A1D"/>
    <w:rsid w:val="003B2BB1"/>
    <w:rsid w:val="003B3D81"/>
    <w:rsid w:val="003B5F5E"/>
    <w:rsid w:val="003C081A"/>
    <w:rsid w:val="003C2FE9"/>
    <w:rsid w:val="003C53C1"/>
    <w:rsid w:val="003D5133"/>
    <w:rsid w:val="003D7B55"/>
    <w:rsid w:val="003DE62A"/>
    <w:rsid w:val="003E0F1B"/>
    <w:rsid w:val="003E2C83"/>
    <w:rsid w:val="003F2DC8"/>
    <w:rsid w:val="003F3ACC"/>
    <w:rsid w:val="003F7E3E"/>
    <w:rsid w:val="0040312C"/>
    <w:rsid w:val="0040314A"/>
    <w:rsid w:val="004064D9"/>
    <w:rsid w:val="00406A21"/>
    <w:rsid w:val="00414D09"/>
    <w:rsid w:val="0041596F"/>
    <w:rsid w:val="004162B7"/>
    <w:rsid w:val="00416803"/>
    <w:rsid w:val="00416E08"/>
    <w:rsid w:val="00421203"/>
    <w:rsid w:val="00421F2C"/>
    <w:rsid w:val="00434401"/>
    <w:rsid w:val="0043489D"/>
    <w:rsid w:val="00434C1C"/>
    <w:rsid w:val="00436E05"/>
    <w:rsid w:val="004378F6"/>
    <w:rsid w:val="00440153"/>
    <w:rsid w:val="00444A91"/>
    <w:rsid w:val="00447E15"/>
    <w:rsid w:val="00450F42"/>
    <w:rsid w:val="004519CA"/>
    <w:rsid w:val="00455789"/>
    <w:rsid w:val="004575B8"/>
    <w:rsid w:val="00465BB5"/>
    <w:rsid w:val="004714A9"/>
    <w:rsid w:val="00471819"/>
    <w:rsid w:val="00472A78"/>
    <w:rsid w:val="00472D3F"/>
    <w:rsid w:val="00473B77"/>
    <w:rsid w:val="00477CF4"/>
    <w:rsid w:val="004815CC"/>
    <w:rsid w:val="00482445"/>
    <w:rsid w:val="00485924"/>
    <w:rsid w:val="00494B4E"/>
    <w:rsid w:val="004A194C"/>
    <w:rsid w:val="004A249D"/>
    <w:rsid w:val="004B3F0F"/>
    <w:rsid w:val="004C6BDC"/>
    <w:rsid w:val="004D12A8"/>
    <w:rsid w:val="004D36B5"/>
    <w:rsid w:val="004D4472"/>
    <w:rsid w:val="004D5344"/>
    <w:rsid w:val="004D55A3"/>
    <w:rsid w:val="004D7900"/>
    <w:rsid w:val="004E176D"/>
    <w:rsid w:val="004E2116"/>
    <w:rsid w:val="004E2441"/>
    <w:rsid w:val="004E2EA2"/>
    <w:rsid w:val="004E41C0"/>
    <w:rsid w:val="004E65D6"/>
    <w:rsid w:val="004E7322"/>
    <w:rsid w:val="004F3188"/>
    <w:rsid w:val="004F59AA"/>
    <w:rsid w:val="004F7E69"/>
    <w:rsid w:val="004F7E95"/>
    <w:rsid w:val="00502659"/>
    <w:rsid w:val="00503B4C"/>
    <w:rsid w:val="0050433D"/>
    <w:rsid w:val="00505D91"/>
    <w:rsid w:val="00511920"/>
    <w:rsid w:val="00511BB6"/>
    <w:rsid w:val="00512E63"/>
    <w:rsid w:val="00512E87"/>
    <w:rsid w:val="00513ECD"/>
    <w:rsid w:val="00515C9F"/>
    <w:rsid w:val="00520E27"/>
    <w:rsid w:val="00521198"/>
    <w:rsid w:val="0052243F"/>
    <w:rsid w:val="005235F1"/>
    <w:rsid w:val="005254BC"/>
    <w:rsid w:val="005258F2"/>
    <w:rsid w:val="0052768E"/>
    <w:rsid w:val="00531882"/>
    <w:rsid w:val="0053202B"/>
    <w:rsid w:val="005330A7"/>
    <w:rsid w:val="00533A6E"/>
    <w:rsid w:val="00534799"/>
    <w:rsid w:val="005349C9"/>
    <w:rsid w:val="00542511"/>
    <w:rsid w:val="005457AD"/>
    <w:rsid w:val="00546F19"/>
    <w:rsid w:val="00547141"/>
    <w:rsid w:val="00551BED"/>
    <w:rsid w:val="00553923"/>
    <w:rsid w:val="0055508A"/>
    <w:rsid w:val="00563772"/>
    <w:rsid w:val="00563C77"/>
    <w:rsid w:val="00567028"/>
    <w:rsid w:val="00567D76"/>
    <w:rsid w:val="00573B32"/>
    <w:rsid w:val="0057412C"/>
    <w:rsid w:val="00575836"/>
    <w:rsid w:val="00575C2A"/>
    <w:rsid w:val="00576C45"/>
    <w:rsid w:val="00577DCF"/>
    <w:rsid w:val="00583698"/>
    <w:rsid w:val="0058483E"/>
    <w:rsid w:val="00584FF1"/>
    <w:rsid w:val="005901F8"/>
    <w:rsid w:val="00597E59"/>
    <w:rsid w:val="00597E5A"/>
    <w:rsid w:val="005A053D"/>
    <w:rsid w:val="005A1D07"/>
    <w:rsid w:val="005B3427"/>
    <w:rsid w:val="005B3A29"/>
    <w:rsid w:val="005B3CF0"/>
    <w:rsid w:val="005B4389"/>
    <w:rsid w:val="005B71ED"/>
    <w:rsid w:val="005C076B"/>
    <w:rsid w:val="005C567B"/>
    <w:rsid w:val="005C602D"/>
    <w:rsid w:val="005CEBC6"/>
    <w:rsid w:val="005D0ED9"/>
    <w:rsid w:val="005E5360"/>
    <w:rsid w:val="005F0454"/>
    <w:rsid w:val="005F07FD"/>
    <w:rsid w:val="005F0DEC"/>
    <w:rsid w:val="005F18ED"/>
    <w:rsid w:val="005F56EC"/>
    <w:rsid w:val="005F5C88"/>
    <w:rsid w:val="005F797D"/>
    <w:rsid w:val="00600AE5"/>
    <w:rsid w:val="00604072"/>
    <w:rsid w:val="00605283"/>
    <w:rsid w:val="00610474"/>
    <w:rsid w:val="006166BF"/>
    <w:rsid w:val="00617573"/>
    <w:rsid w:val="00617DD1"/>
    <w:rsid w:val="00617ECF"/>
    <w:rsid w:val="006209CB"/>
    <w:rsid w:val="006234B1"/>
    <w:rsid w:val="00623F37"/>
    <w:rsid w:val="00624B73"/>
    <w:rsid w:val="00625703"/>
    <w:rsid w:val="00625E46"/>
    <w:rsid w:val="00626317"/>
    <w:rsid w:val="0062665B"/>
    <w:rsid w:val="00626EDB"/>
    <w:rsid w:val="006311C3"/>
    <w:rsid w:val="006409FB"/>
    <w:rsid w:val="006429A2"/>
    <w:rsid w:val="0064339E"/>
    <w:rsid w:val="00643C9B"/>
    <w:rsid w:val="0065062A"/>
    <w:rsid w:val="00651F98"/>
    <w:rsid w:val="00652589"/>
    <w:rsid w:val="006540B8"/>
    <w:rsid w:val="00657E7F"/>
    <w:rsid w:val="0065AC58"/>
    <w:rsid w:val="0066033D"/>
    <w:rsid w:val="00661980"/>
    <w:rsid w:val="00663231"/>
    <w:rsid w:val="00663983"/>
    <w:rsid w:val="00664EDD"/>
    <w:rsid w:val="00664F46"/>
    <w:rsid w:val="00666A03"/>
    <w:rsid w:val="00673E71"/>
    <w:rsid w:val="006800EA"/>
    <w:rsid w:val="00681965"/>
    <w:rsid w:val="00682DF8"/>
    <w:rsid w:val="00693611"/>
    <w:rsid w:val="00694C64"/>
    <w:rsid w:val="00695027"/>
    <w:rsid w:val="00695AA7"/>
    <w:rsid w:val="006A3032"/>
    <w:rsid w:val="006A338C"/>
    <w:rsid w:val="006A4D9C"/>
    <w:rsid w:val="006A6A41"/>
    <w:rsid w:val="006A6A72"/>
    <w:rsid w:val="006A7973"/>
    <w:rsid w:val="006B0B23"/>
    <w:rsid w:val="006B3F30"/>
    <w:rsid w:val="006B5C77"/>
    <w:rsid w:val="006C4A25"/>
    <w:rsid w:val="006C5699"/>
    <w:rsid w:val="006D13E9"/>
    <w:rsid w:val="006D17F2"/>
    <w:rsid w:val="006D2335"/>
    <w:rsid w:val="006D3808"/>
    <w:rsid w:val="006E10D1"/>
    <w:rsid w:val="006E4297"/>
    <w:rsid w:val="006F6543"/>
    <w:rsid w:val="006F69A3"/>
    <w:rsid w:val="00702B32"/>
    <w:rsid w:val="0070636B"/>
    <w:rsid w:val="00712437"/>
    <w:rsid w:val="007125DE"/>
    <w:rsid w:val="00715D58"/>
    <w:rsid w:val="00716192"/>
    <w:rsid w:val="00717BC1"/>
    <w:rsid w:val="00721465"/>
    <w:rsid w:val="007256C2"/>
    <w:rsid w:val="00726A3B"/>
    <w:rsid w:val="0073132C"/>
    <w:rsid w:val="007315D6"/>
    <w:rsid w:val="00735385"/>
    <w:rsid w:val="00735D95"/>
    <w:rsid w:val="00741FBE"/>
    <w:rsid w:val="00750893"/>
    <w:rsid w:val="00753A35"/>
    <w:rsid w:val="0075584F"/>
    <w:rsid w:val="007566D9"/>
    <w:rsid w:val="00757B36"/>
    <w:rsid w:val="0076041F"/>
    <w:rsid w:val="00760AFD"/>
    <w:rsid w:val="00765879"/>
    <w:rsid w:val="007668CB"/>
    <w:rsid w:val="00770494"/>
    <w:rsid w:val="007715F4"/>
    <w:rsid w:val="007733BC"/>
    <w:rsid w:val="00776259"/>
    <w:rsid w:val="007769B9"/>
    <w:rsid w:val="00785DF2"/>
    <w:rsid w:val="00790201"/>
    <w:rsid w:val="00790FAA"/>
    <w:rsid w:val="007A03E8"/>
    <w:rsid w:val="007A0EC1"/>
    <w:rsid w:val="007A1BF8"/>
    <w:rsid w:val="007A3B7A"/>
    <w:rsid w:val="007B04DC"/>
    <w:rsid w:val="007B2688"/>
    <w:rsid w:val="007B3A01"/>
    <w:rsid w:val="007B68F6"/>
    <w:rsid w:val="007C09D9"/>
    <w:rsid w:val="007C211B"/>
    <w:rsid w:val="007C2539"/>
    <w:rsid w:val="007C3567"/>
    <w:rsid w:val="007C7640"/>
    <w:rsid w:val="007D01C0"/>
    <w:rsid w:val="007D1DA9"/>
    <w:rsid w:val="007D4336"/>
    <w:rsid w:val="007E199C"/>
    <w:rsid w:val="007E4123"/>
    <w:rsid w:val="007E52E3"/>
    <w:rsid w:val="007E70C6"/>
    <w:rsid w:val="007F19F3"/>
    <w:rsid w:val="007F1FBC"/>
    <w:rsid w:val="007F3EDF"/>
    <w:rsid w:val="007F7E91"/>
    <w:rsid w:val="008022D0"/>
    <w:rsid w:val="00803AE9"/>
    <w:rsid w:val="008042AE"/>
    <w:rsid w:val="00810566"/>
    <w:rsid w:val="00811486"/>
    <w:rsid w:val="00812793"/>
    <w:rsid w:val="008141E6"/>
    <w:rsid w:val="0081480C"/>
    <w:rsid w:val="00814895"/>
    <w:rsid w:val="0081635A"/>
    <w:rsid w:val="008209EE"/>
    <w:rsid w:val="00823C17"/>
    <w:rsid w:val="00824F3C"/>
    <w:rsid w:val="00825F1E"/>
    <w:rsid w:val="008303E3"/>
    <w:rsid w:val="008324FB"/>
    <w:rsid w:val="00833171"/>
    <w:rsid w:val="00833417"/>
    <w:rsid w:val="00840796"/>
    <w:rsid w:val="008417FC"/>
    <w:rsid w:val="008419A2"/>
    <w:rsid w:val="00841DE3"/>
    <w:rsid w:val="008459F3"/>
    <w:rsid w:val="00852246"/>
    <w:rsid w:val="008529E6"/>
    <w:rsid w:val="00853994"/>
    <w:rsid w:val="008551EB"/>
    <w:rsid w:val="00855F67"/>
    <w:rsid w:val="008573D2"/>
    <w:rsid w:val="0086011E"/>
    <w:rsid w:val="008603B9"/>
    <w:rsid w:val="008636E1"/>
    <w:rsid w:val="00864832"/>
    <w:rsid w:val="00865EE4"/>
    <w:rsid w:val="008663EF"/>
    <w:rsid w:val="00872310"/>
    <w:rsid w:val="00874AFE"/>
    <w:rsid w:val="00875A04"/>
    <w:rsid w:val="008774D2"/>
    <w:rsid w:val="00882ED9"/>
    <w:rsid w:val="00886CBD"/>
    <w:rsid w:val="0089122E"/>
    <w:rsid w:val="00891890"/>
    <w:rsid w:val="00891E49"/>
    <w:rsid w:val="0089262B"/>
    <w:rsid w:val="00893942"/>
    <w:rsid w:val="00893CB6"/>
    <w:rsid w:val="008940C4"/>
    <w:rsid w:val="00894A80"/>
    <w:rsid w:val="00894D4B"/>
    <w:rsid w:val="00895430"/>
    <w:rsid w:val="008958A7"/>
    <w:rsid w:val="00895BCD"/>
    <w:rsid w:val="008A11BB"/>
    <w:rsid w:val="008A4B49"/>
    <w:rsid w:val="008A4DD3"/>
    <w:rsid w:val="008A552D"/>
    <w:rsid w:val="008B1345"/>
    <w:rsid w:val="008B1943"/>
    <w:rsid w:val="008B2222"/>
    <w:rsid w:val="008B2983"/>
    <w:rsid w:val="008B5371"/>
    <w:rsid w:val="008B7829"/>
    <w:rsid w:val="008C1DE9"/>
    <w:rsid w:val="008C404A"/>
    <w:rsid w:val="008C4AF0"/>
    <w:rsid w:val="008C631E"/>
    <w:rsid w:val="008D3C7E"/>
    <w:rsid w:val="008D4E76"/>
    <w:rsid w:val="008D747C"/>
    <w:rsid w:val="008D7957"/>
    <w:rsid w:val="008E23D6"/>
    <w:rsid w:val="008E55D7"/>
    <w:rsid w:val="008E7D9C"/>
    <w:rsid w:val="008F05CE"/>
    <w:rsid w:val="008F50B8"/>
    <w:rsid w:val="008F620A"/>
    <w:rsid w:val="008F6ADC"/>
    <w:rsid w:val="008F7134"/>
    <w:rsid w:val="0090031B"/>
    <w:rsid w:val="00901E91"/>
    <w:rsid w:val="0090243E"/>
    <w:rsid w:val="00914074"/>
    <w:rsid w:val="00915476"/>
    <w:rsid w:val="00916FBB"/>
    <w:rsid w:val="009170E9"/>
    <w:rsid w:val="0092437F"/>
    <w:rsid w:val="00926D72"/>
    <w:rsid w:val="00930B81"/>
    <w:rsid w:val="00943C28"/>
    <w:rsid w:val="00960822"/>
    <w:rsid w:val="009644C9"/>
    <w:rsid w:val="00973D4C"/>
    <w:rsid w:val="00975C6E"/>
    <w:rsid w:val="00981DB4"/>
    <w:rsid w:val="00981F1A"/>
    <w:rsid w:val="0098792B"/>
    <w:rsid w:val="00990D28"/>
    <w:rsid w:val="00991956"/>
    <w:rsid w:val="0099231B"/>
    <w:rsid w:val="0099255D"/>
    <w:rsid w:val="00994630"/>
    <w:rsid w:val="00994B03"/>
    <w:rsid w:val="009958E9"/>
    <w:rsid w:val="00997548"/>
    <w:rsid w:val="0099773E"/>
    <w:rsid w:val="009A18B5"/>
    <w:rsid w:val="009A79F6"/>
    <w:rsid w:val="009B0156"/>
    <w:rsid w:val="009B06E5"/>
    <w:rsid w:val="009B275B"/>
    <w:rsid w:val="009B4E75"/>
    <w:rsid w:val="009B5D93"/>
    <w:rsid w:val="009C0864"/>
    <w:rsid w:val="009C5656"/>
    <w:rsid w:val="009C5ECB"/>
    <w:rsid w:val="009D17C5"/>
    <w:rsid w:val="009D6BDD"/>
    <w:rsid w:val="009D70E7"/>
    <w:rsid w:val="009E140D"/>
    <w:rsid w:val="009E28CB"/>
    <w:rsid w:val="009E60D0"/>
    <w:rsid w:val="009F071B"/>
    <w:rsid w:val="009F785C"/>
    <w:rsid w:val="00A00315"/>
    <w:rsid w:val="00A01214"/>
    <w:rsid w:val="00A01A53"/>
    <w:rsid w:val="00A03F36"/>
    <w:rsid w:val="00A04D03"/>
    <w:rsid w:val="00A05787"/>
    <w:rsid w:val="00A071AC"/>
    <w:rsid w:val="00A0733C"/>
    <w:rsid w:val="00A075E1"/>
    <w:rsid w:val="00A16B4F"/>
    <w:rsid w:val="00A212C6"/>
    <w:rsid w:val="00A21966"/>
    <w:rsid w:val="00A240F6"/>
    <w:rsid w:val="00A27176"/>
    <w:rsid w:val="00A276F2"/>
    <w:rsid w:val="00A30423"/>
    <w:rsid w:val="00A3366C"/>
    <w:rsid w:val="00A37331"/>
    <w:rsid w:val="00A40837"/>
    <w:rsid w:val="00A41B0B"/>
    <w:rsid w:val="00A41BEF"/>
    <w:rsid w:val="00A41C62"/>
    <w:rsid w:val="00A42D10"/>
    <w:rsid w:val="00A5750F"/>
    <w:rsid w:val="00A57EBB"/>
    <w:rsid w:val="00A61165"/>
    <w:rsid w:val="00A61838"/>
    <w:rsid w:val="00A633C8"/>
    <w:rsid w:val="00A63BF7"/>
    <w:rsid w:val="00A641FF"/>
    <w:rsid w:val="00A6568B"/>
    <w:rsid w:val="00A671DE"/>
    <w:rsid w:val="00A72D8A"/>
    <w:rsid w:val="00A757B4"/>
    <w:rsid w:val="00A775AB"/>
    <w:rsid w:val="00A77D1C"/>
    <w:rsid w:val="00A804E2"/>
    <w:rsid w:val="00A83389"/>
    <w:rsid w:val="00A83AE9"/>
    <w:rsid w:val="00A84338"/>
    <w:rsid w:val="00A8496B"/>
    <w:rsid w:val="00A87429"/>
    <w:rsid w:val="00A90687"/>
    <w:rsid w:val="00A91E6B"/>
    <w:rsid w:val="00A92959"/>
    <w:rsid w:val="00A93F27"/>
    <w:rsid w:val="00A95BBB"/>
    <w:rsid w:val="00A96241"/>
    <w:rsid w:val="00AA07DD"/>
    <w:rsid w:val="00AA31E4"/>
    <w:rsid w:val="00AA325B"/>
    <w:rsid w:val="00AA49C7"/>
    <w:rsid w:val="00AA62D1"/>
    <w:rsid w:val="00AA69B5"/>
    <w:rsid w:val="00AA6B21"/>
    <w:rsid w:val="00AA6D57"/>
    <w:rsid w:val="00AA75CC"/>
    <w:rsid w:val="00AB0CFF"/>
    <w:rsid w:val="00AB782A"/>
    <w:rsid w:val="00AB7BD9"/>
    <w:rsid w:val="00AB7FDD"/>
    <w:rsid w:val="00AC0348"/>
    <w:rsid w:val="00AC338C"/>
    <w:rsid w:val="00AC3CD7"/>
    <w:rsid w:val="00AC4C6F"/>
    <w:rsid w:val="00AC4EF6"/>
    <w:rsid w:val="00AC6687"/>
    <w:rsid w:val="00AC6CBE"/>
    <w:rsid w:val="00AD03A9"/>
    <w:rsid w:val="00AD24C8"/>
    <w:rsid w:val="00AD2A73"/>
    <w:rsid w:val="00AE2967"/>
    <w:rsid w:val="00AE5A74"/>
    <w:rsid w:val="00AE6D03"/>
    <w:rsid w:val="00AF09C5"/>
    <w:rsid w:val="00AF1A78"/>
    <w:rsid w:val="00AF665C"/>
    <w:rsid w:val="00AF7478"/>
    <w:rsid w:val="00B04F41"/>
    <w:rsid w:val="00B04FA2"/>
    <w:rsid w:val="00B0689D"/>
    <w:rsid w:val="00B163B9"/>
    <w:rsid w:val="00B2034E"/>
    <w:rsid w:val="00B21ED5"/>
    <w:rsid w:val="00B22FD2"/>
    <w:rsid w:val="00B25A6B"/>
    <w:rsid w:val="00B30B06"/>
    <w:rsid w:val="00B33E1B"/>
    <w:rsid w:val="00B33E4D"/>
    <w:rsid w:val="00B37837"/>
    <w:rsid w:val="00B41165"/>
    <w:rsid w:val="00B51C17"/>
    <w:rsid w:val="00B54DAE"/>
    <w:rsid w:val="00B54F1C"/>
    <w:rsid w:val="00B55299"/>
    <w:rsid w:val="00B56772"/>
    <w:rsid w:val="00B6002F"/>
    <w:rsid w:val="00B62D98"/>
    <w:rsid w:val="00B6371E"/>
    <w:rsid w:val="00B652D0"/>
    <w:rsid w:val="00B705B1"/>
    <w:rsid w:val="00B73D49"/>
    <w:rsid w:val="00B760AC"/>
    <w:rsid w:val="00B82DD2"/>
    <w:rsid w:val="00B8326E"/>
    <w:rsid w:val="00B841E3"/>
    <w:rsid w:val="00B8448B"/>
    <w:rsid w:val="00B84E3B"/>
    <w:rsid w:val="00B851CC"/>
    <w:rsid w:val="00BA0901"/>
    <w:rsid w:val="00BA37C9"/>
    <w:rsid w:val="00BA408D"/>
    <w:rsid w:val="00BB0174"/>
    <w:rsid w:val="00BB223F"/>
    <w:rsid w:val="00BB37E2"/>
    <w:rsid w:val="00BB53D1"/>
    <w:rsid w:val="00BB6247"/>
    <w:rsid w:val="00BB6DE3"/>
    <w:rsid w:val="00BC0AF0"/>
    <w:rsid w:val="00BC3885"/>
    <w:rsid w:val="00BC3D06"/>
    <w:rsid w:val="00BC413B"/>
    <w:rsid w:val="00BD1381"/>
    <w:rsid w:val="00BD1BD9"/>
    <w:rsid w:val="00BD2546"/>
    <w:rsid w:val="00BE0294"/>
    <w:rsid w:val="00BE0523"/>
    <w:rsid w:val="00BE2448"/>
    <w:rsid w:val="00BE259B"/>
    <w:rsid w:val="00BF1A98"/>
    <w:rsid w:val="00BF2102"/>
    <w:rsid w:val="00BF2A8C"/>
    <w:rsid w:val="00BF5C66"/>
    <w:rsid w:val="00BF62A0"/>
    <w:rsid w:val="00BF6E30"/>
    <w:rsid w:val="00C02958"/>
    <w:rsid w:val="00C0340F"/>
    <w:rsid w:val="00C05401"/>
    <w:rsid w:val="00C116E4"/>
    <w:rsid w:val="00C16D1F"/>
    <w:rsid w:val="00C20E35"/>
    <w:rsid w:val="00C231B0"/>
    <w:rsid w:val="00C23F2F"/>
    <w:rsid w:val="00C271AB"/>
    <w:rsid w:val="00C27E3B"/>
    <w:rsid w:val="00C32B36"/>
    <w:rsid w:val="00C3561A"/>
    <w:rsid w:val="00C36BD7"/>
    <w:rsid w:val="00C36F33"/>
    <w:rsid w:val="00C402AA"/>
    <w:rsid w:val="00C45127"/>
    <w:rsid w:val="00C475F4"/>
    <w:rsid w:val="00C50CC3"/>
    <w:rsid w:val="00C5186C"/>
    <w:rsid w:val="00C55937"/>
    <w:rsid w:val="00C56762"/>
    <w:rsid w:val="00C56A2F"/>
    <w:rsid w:val="00C57BAF"/>
    <w:rsid w:val="00C57C98"/>
    <w:rsid w:val="00C57D00"/>
    <w:rsid w:val="00C7171C"/>
    <w:rsid w:val="00C73C78"/>
    <w:rsid w:val="00C75E01"/>
    <w:rsid w:val="00C808EF"/>
    <w:rsid w:val="00C80D62"/>
    <w:rsid w:val="00C816BA"/>
    <w:rsid w:val="00C85D49"/>
    <w:rsid w:val="00C87052"/>
    <w:rsid w:val="00C90100"/>
    <w:rsid w:val="00C92BCC"/>
    <w:rsid w:val="00C949CF"/>
    <w:rsid w:val="00CB5EC8"/>
    <w:rsid w:val="00CB6F08"/>
    <w:rsid w:val="00CC2679"/>
    <w:rsid w:val="00CC577F"/>
    <w:rsid w:val="00CC60B4"/>
    <w:rsid w:val="00CD2702"/>
    <w:rsid w:val="00CD5962"/>
    <w:rsid w:val="00CD76CF"/>
    <w:rsid w:val="00CE07D5"/>
    <w:rsid w:val="00CE441C"/>
    <w:rsid w:val="00CE6005"/>
    <w:rsid w:val="00CE6697"/>
    <w:rsid w:val="00D065C4"/>
    <w:rsid w:val="00D10C72"/>
    <w:rsid w:val="00D16E9E"/>
    <w:rsid w:val="00D17B6C"/>
    <w:rsid w:val="00D210AC"/>
    <w:rsid w:val="00D31E6F"/>
    <w:rsid w:val="00D34B20"/>
    <w:rsid w:val="00D34D20"/>
    <w:rsid w:val="00D365F0"/>
    <w:rsid w:val="00D409DD"/>
    <w:rsid w:val="00D430A3"/>
    <w:rsid w:val="00D432F3"/>
    <w:rsid w:val="00D52548"/>
    <w:rsid w:val="00D52E2D"/>
    <w:rsid w:val="00D56729"/>
    <w:rsid w:val="00D6194C"/>
    <w:rsid w:val="00D65536"/>
    <w:rsid w:val="00D66FA4"/>
    <w:rsid w:val="00D71514"/>
    <w:rsid w:val="00D83AD5"/>
    <w:rsid w:val="00D876E8"/>
    <w:rsid w:val="00D92D0F"/>
    <w:rsid w:val="00D94922"/>
    <w:rsid w:val="00D95F6A"/>
    <w:rsid w:val="00DA0E74"/>
    <w:rsid w:val="00DA26DB"/>
    <w:rsid w:val="00DA425A"/>
    <w:rsid w:val="00DA5762"/>
    <w:rsid w:val="00DB17A7"/>
    <w:rsid w:val="00DB28C8"/>
    <w:rsid w:val="00DB6CB2"/>
    <w:rsid w:val="00DB7242"/>
    <w:rsid w:val="00DC06AA"/>
    <w:rsid w:val="00DC0E08"/>
    <w:rsid w:val="00DC1E62"/>
    <w:rsid w:val="00DC2609"/>
    <w:rsid w:val="00DC5C61"/>
    <w:rsid w:val="00DC6D3E"/>
    <w:rsid w:val="00DD12DC"/>
    <w:rsid w:val="00DD62A9"/>
    <w:rsid w:val="00DD695A"/>
    <w:rsid w:val="00DE364A"/>
    <w:rsid w:val="00DF02B8"/>
    <w:rsid w:val="00DF614C"/>
    <w:rsid w:val="00E00F08"/>
    <w:rsid w:val="00E030E6"/>
    <w:rsid w:val="00E117B1"/>
    <w:rsid w:val="00E14F4A"/>
    <w:rsid w:val="00E1644F"/>
    <w:rsid w:val="00E20020"/>
    <w:rsid w:val="00E273F7"/>
    <w:rsid w:val="00E27A0F"/>
    <w:rsid w:val="00E30D0A"/>
    <w:rsid w:val="00E31D1F"/>
    <w:rsid w:val="00E339BD"/>
    <w:rsid w:val="00E34A53"/>
    <w:rsid w:val="00E3512F"/>
    <w:rsid w:val="00E43FC9"/>
    <w:rsid w:val="00E45213"/>
    <w:rsid w:val="00E50007"/>
    <w:rsid w:val="00E541C1"/>
    <w:rsid w:val="00E55B37"/>
    <w:rsid w:val="00E55E6D"/>
    <w:rsid w:val="00E563AA"/>
    <w:rsid w:val="00E600AC"/>
    <w:rsid w:val="00E676DA"/>
    <w:rsid w:val="00E725F9"/>
    <w:rsid w:val="00E73D7C"/>
    <w:rsid w:val="00E73E2A"/>
    <w:rsid w:val="00E755FF"/>
    <w:rsid w:val="00E76C3C"/>
    <w:rsid w:val="00E842A0"/>
    <w:rsid w:val="00E940F9"/>
    <w:rsid w:val="00E97EBE"/>
    <w:rsid w:val="00EA21B1"/>
    <w:rsid w:val="00EA2E1F"/>
    <w:rsid w:val="00EA4BE4"/>
    <w:rsid w:val="00EA64F3"/>
    <w:rsid w:val="00EA7EBB"/>
    <w:rsid w:val="00EB15A8"/>
    <w:rsid w:val="00EB22AB"/>
    <w:rsid w:val="00EB6372"/>
    <w:rsid w:val="00EB6392"/>
    <w:rsid w:val="00EC0657"/>
    <w:rsid w:val="00EC0C18"/>
    <w:rsid w:val="00EC45B5"/>
    <w:rsid w:val="00EC4F06"/>
    <w:rsid w:val="00EC5121"/>
    <w:rsid w:val="00EC63B0"/>
    <w:rsid w:val="00EE09A2"/>
    <w:rsid w:val="00EE3B3C"/>
    <w:rsid w:val="00EE6FA3"/>
    <w:rsid w:val="00EF3DD2"/>
    <w:rsid w:val="00EF6A61"/>
    <w:rsid w:val="00EF72E0"/>
    <w:rsid w:val="00F03916"/>
    <w:rsid w:val="00F03E07"/>
    <w:rsid w:val="00F05BEC"/>
    <w:rsid w:val="00F07A57"/>
    <w:rsid w:val="00F11153"/>
    <w:rsid w:val="00F1472C"/>
    <w:rsid w:val="00F1572A"/>
    <w:rsid w:val="00F17610"/>
    <w:rsid w:val="00F17CEE"/>
    <w:rsid w:val="00F22A1D"/>
    <w:rsid w:val="00F22D56"/>
    <w:rsid w:val="00F23CD9"/>
    <w:rsid w:val="00F245AF"/>
    <w:rsid w:val="00F25E75"/>
    <w:rsid w:val="00F277DE"/>
    <w:rsid w:val="00F35BE3"/>
    <w:rsid w:val="00F41483"/>
    <w:rsid w:val="00F42030"/>
    <w:rsid w:val="00F42A2B"/>
    <w:rsid w:val="00F5298D"/>
    <w:rsid w:val="00F56BBB"/>
    <w:rsid w:val="00F60024"/>
    <w:rsid w:val="00F607CC"/>
    <w:rsid w:val="00F60C0A"/>
    <w:rsid w:val="00F647C4"/>
    <w:rsid w:val="00F76AE0"/>
    <w:rsid w:val="00F84AEC"/>
    <w:rsid w:val="00F84E29"/>
    <w:rsid w:val="00F86773"/>
    <w:rsid w:val="00F8766C"/>
    <w:rsid w:val="00F93386"/>
    <w:rsid w:val="00F935F3"/>
    <w:rsid w:val="00F93961"/>
    <w:rsid w:val="00F93C26"/>
    <w:rsid w:val="00F95A5C"/>
    <w:rsid w:val="00FA1E58"/>
    <w:rsid w:val="00FA244D"/>
    <w:rsid w:val="00FA267A"/>
    <w:rsid w:val="00FA4878"/>
    <w:rsid w:val="00FA64CB"/>
    <w:rsid w:val="00FB15F2"/>
    <w:rsid w:val="00FB177D"/>
    <w:rsid w:val="00FB3C2E"/>
    <w:rsid w:val="00FC1D51"/>
    <w:rsid w:val="00FC48E5"/>
    <w:rsid w:val="00FC6248"/>
    <w:rsid w:val="00FC7E89"/>
    <w:rsid w:val="00FD3F39"/>
    <w:rsid w:val="00FD41B8"/>
    <w:rsid w:val="00FD5CAA"/>
    <w:rsid w:val="00FD7641"/>
    <w:rsid w:val="00FD7E02"/>
    <w:rsid w:val="00FE21A2"/>
    <w:rsid w:val="00FE4133"/>
    <w:rsid w:val="00FF4C7B"/>
    <w:rsid w:val="00FF5AAC"/>
    <w:rsid w:val="00FF6853"/>
    <w:rsid w:val="010B8864"/>
    <w:rsid w:val="010DF9EA"/>
    <w:rsid w:val="012484CB"/>
    <w:rsid w:val="01282E1E"/>
    <w:rsid w:val="015A53D7"/>
    <w:rsid w:val="01AF4DD2"/>
    <w:rsid w:val="01D2627B"/>
    <w:rsid w:val="02068078"/>
    <w:rsid w:val="026B3AED"/>
    <w:rsid w:val="02957D09"/>
    <w:rsid w:val="02C05E29"/>
    <w:rsid w:val="02E7117A"/>
    <w:rsid w:val="02E7AAAE"/>
    <w:rsid w:val="0306E30F"/>
    <w:rsid w:val="031FAA80"/>
    <w:rsid w:val="0333FA4D"/>
    <w:rsid w:val="03686BD1"/>
    <w:rsid w:val="03883703"/>
    <w:rsid w:val="0490B3EE"/>
    <w:rsid w:val="04FA316E"/>
    <w:rsid w:val="056F70B2"/>
    <w:rsid w:val="058D5F68"/>
    <w:rsid w:val="0596731D"/>
    <w:rsid w:val="05A1EF77"/>
    <w:rsid w:val="05BA1243"/>
    <w:rsid w:val="05C40EE0"/>
    <w:rsid w:val="05D43383"/>
    <w:rsid w:val="06632E25"/>
    <w:rsid w:val="068883A9"/>
    <w:rsid w:val="06986D4D"/>
    <w:rsid w:val="06D28DA6"/>
    <w:rsid w:val="06FC1E14"/>
    <w:rsid w:val="0731E6CD"/>
    <w:rsid w:val="077F2ACC"/>
    <w:rsid w:val="07CE24E7"/>
    <w:rsid w:val="07E0229D"/>
    <w:rsid w:val="082C5E4B"/>
    <w:rsid w:val="084D825B"/>
    <w:rsid w:val="087A73F9"/>
    <w:rsid w:val="088BB887"/>
    <w:rsid w:val="08A0C204"/>
    <w:rsid w:val="08A50EBF"/>
    <w:rsid w:val="08CC0C60"/>
    <w:rsid w:val="08CEBF0F"/>
    <w:rsid w:val="09114AFA"/>
    <w:rsid w:val="091B0C23"/>
    <w:rsid w:val="092D3940"/>
    <w:rsid w:val="09B4EA1A"/>
    <w:rsid w:val="09CEFD8C"/>
    <w:rsid w:val="0A0F9101"/>
    <w:rsid w:val="0A18D06C"/>
    <w:rsid w:val="0ACFB960"/>
    <w:rsid w:val="0AF27054"/>
    <w:rsid w:val="0AF3359C"/>
    <w:rsid w:val="0B0723AA"/>
    <w:rsid w:val="0B16607D"/>
    <w:rsid w:val="0B43F6C5"/>
    <w:rsid w:val="0C39A546"/>
    <w:rsid w:val="0C84EBAD"/>
    <w:rsid w:val="0C9BEE51"/>
    <w:rsid w:val="0CCF1502"/>
    <w:rsid w:val="0D1D6A3C"/>
    <w:rsid w:val="0D2C8B29"/>
    <w:rsid w:val="0D415683"/>
    <w:rsid w:val="0DBDDBE4"/>
    <w:rsid w:val="0DC65B51"/>
    <w:rsid w:val="0E8A5E99"/>
    <w:rsid w:val="0E95E684"/>
    <w:rsid w:val="0EA895F6"/>
    <w:rsid w:val="0EBBE910"/>
    <w:rsid w:val="0ECCE7C5"/>
    <w:rsid w:val="0F5239C9"/>
    <w:rsid w:val="10767C27"/>
    <w:rsid w:val="10974F2E"/>
    <w:rsid w:val="10C90CF5"/>
    <w:rsid w:val="10F60122"/>
    <w:rsid w:val="113C497D"/>
    <w:rsid w:val="11630D2B"/>
    <w:rsid w:val="11A8859E"/>
    <w:rsid w:val="11B59A7F"/>
    <w:rsid w:val="11DF7685"/>
    <w:rsid w:val="11E9965E"/>
    <w:rsid w:val="125BF977"/>
    <w:rsid w:val="126C790A"/>
    <w:rsid w:val="12A8D60B"/>
    <w:rsid w:val="12EA38DF"/>
    <w:rsid w:val="1300A316"/>
    <w:rsid w:val="1327C3F9"/>
    <w:rsid w:val="143A7930"/>
    <w:rsid w:val="14823514"/>
    <w:rsid w:val="149C9EB0"/>
    <w:rsid w:val="14B0F760"/>
    <w:rsid w:val="14CCC3E9"/>
    <w:rsid w:val="151FDD5D"/>
    <w:rsid w:val="155AB578"/>
    <w:rsid w:val="155D4C68"/>
    <w:rsid w:val="1564B893"/>
    <w:rsid w:val="15655FED"/>
    <w:rsid w:val="15E5A367"/>
    <w:rsid w:val="163A0F4F"/>
    <w:rsid w:val="1655C356"/>
    <w:rsid w:val="167FB1CE"/>
    <w:rsid w:val="16A664EA"/>
    <w:rsid w:val="1717C281"/>
    <w:rsid w:val="173B7E4E"/>
    <w:rsid w:val="1780846F"/>
    <w:rsid w:val="178B6382"/>
    <w:rsid w:val="179EB513"/>
    <w:rsid w:val="180C1441"/>
    <w:rsid w:val="183DB230"/>
    <w:rsid w:val="183EB3E0"/>
    <w:rsid w:val="184B6764"/>
    <w:rsid w:val="1880FC79"/>
    <w:rsid w:val="1882B800"/>
    <w:rsid w:val="188AD8B0"/>
    <w:rsid w:val="18A2DF49"/>
    <w:rsid w:val="18AA8C9B"/>
    <w:rsid w:val="18D6192F"/>
    <w:rsid w:val="18D7AD67"/>
    <w:rsid w:val="18DA6140"/>
    <w:rsid w:val="18E9CDE7"/>
    <w:rsid w:val="1904E217"/>
    <w:rsid w:val="1934C667"/>
    <w:rsid w:val="198B668D"/>
    <w:rsid w:val="19CDB784"/>
    <w:rsid w:val="1A1687E6"/>
    <w:rsid w:val="1A33CE10"/>
    <w:rsid w:val="1A41BEB8"/>
    <w:rsid w:val="1A6DF45D"/>
    <w:rsid w:val="1A7BC1E7"/>
    <w:rsid w:val="1AA9367F"/>
    <w:rsid w:val="1AB25518"/>
    <w:rsid w:val="1AB9F7E9"/>
    <w:rsid w:val="1AC5D491"/>
    <w:rsid w:val="1B130F97"/>
    <w:rsid w:val="1B182DB5"/>
    <w:rsid w:val="1B51FDBF"/>
    <w:rsid w:val="1B916960"/>
    <w:rsid w:val="1BA1D6DC"/>
    <w:rsid w:val="1BF03103"/>
    <w:rsid w:val="1BF7BE13"/>
    <w:rsid w:val="1C1C6983"/>
    <w:rsid w:val="1C1DAB5F"/>
    <w:rsid w:val="1D1FEE8B"/>
    <w:rsid w:val="1D985DBE"/>
    <w:rsid w:val="1DB4E493"/>
    <w:rsid w:val="1DBFEB11"/>
    <w:rsid w:val="1E2C71FB"/>
    <w:rsid w:val="1E7FE144"/>
    <w:rsid w:val="1E94AA0D"/>
    <w:rsid w:val="1EA0D361"/>
    <w:rsid w:val="1EA78FFE"/>
    <w:rsid w:val="1EE7DD12"/>
    <w:rsid w:val="1EEF9883"/>
    <w:rsid w:val="1F1C5AAE"/>
    <w:rsid w:val="1F793FE1"/>
    <w:rsid w:val="1F9D8D6D"/>
    <w:rsid w:val="1FC7ED14"/>
    <w:rsid w:val="2016A5BA"/>
    <w:rsid w:val="20710CA5"/>
    <w:rsid w:val="20883C67"/>
    <w:rsid w:val="20C807DD"/>
    <w:rsid w:val="20F975CB"/>
    <w:rsid w:val="211FE2A8"/>
    <w:rsid w:val="213948B2"/>
    <w:rsid w:val="2288E4BF"/>
    <w:rsid w:val="22A16E6B"/>
    <w:rsid w:val="22B7C031"/>
    <w:rsid w:val="2304D1D0"/>
    <w:rsid w:val="232982E5"/>
    <w:rsid w:val="2333E584"/>
    <w:rsid w:val="234A8959"/>
    <w:rsid w:val="235CFB4A"/>
    <w:rsid w:val="23613E6D"/>
    <w:rsid w:val="23707993"/>
    <w:rsid w:val="23A50A5B"/>
    <w:rsid w:val="23B6C2F1"/>
    <w:rsid w:val="23CD120A"/>
    <w:rsid w:val="23D4EB8D"/>
    <w:rsid w:val="24106DE2"/>
    <w:rsid w:val="241331C8"/>
    <w:rsid w:val="243526B0"/>
    <w:rsid w:val="243940C8"/>
    <w:rsid w:val="246068C6"/>
    <w:rsid w:val="24E7FC1A"/>
    <w:rsid w:val="2510F570"/>
    <w:rsid w:val="25323E0B"/>
    <w:rsid w:val="25444839"/>
    <w:rsid w:val="2559A4BE"/>
    <w:rsid w:val="259066F5"/>
    <w:rsid w:val="25A18B11"/>
    <w:rsid w:val="25F7895C"/>
    <w:rsid w:val="2646CF4E"/>
    <w:rsid w:val="265494C2"/>
    <w:rsid w:val="26763A98"/>
    <w:rsid w:val="268D4486"/>
    <w:rsid w:val="26CBA6DC"/>
    <w:rsid w:val="26FCF82E"/>
    <w:rsid w:val="2734E22C"/>
    <w:rsid w:val="27550878"/>
    <w:rsid w:val="2786656A"/>
    <w:rsid w:val="281A941A"/>
    <w:rsid w:val="28DB9013"/>
    <w:rsid w:val="290D91C0"/>
    <w:rsid w:val="292011F5"/>
    <w:rsid w:val="296D1D73"/>
    <w:rsid w:val="298BF236"/>
    <w:rsid w:val="29B9666D"/>
    <w:rsid w:val="29F2D864"/>
    <w:rsid w:val="2A095EA4"/>
    <w:rsid w:val="2A1E1F8E"/>
    <w:rsid w:val="2A42121B"/>
    <w:rsid w:val="2A730D18"/>
    <w:rsid w:val="2A864549"/>
    <w:rsid w:val="2AA76B8E"/>
    <w:rsid w:val="2B2BD551"/>
    <w:rsid w:val="2B36CCEE"/>
    <w:rsid w:val="2BA385E5"/>
    <w:rsid w:val="2C2BC5F6"/>
    <w:rsid w:val="2C954B78"/>
    <w:rsid w:val="2D602C9A"/>
    <w:rsid w:val="2D8A8A6D"/>
    <w:rsid w:val="2E5693E6"/>
    <w:rsid w:val="2FBD3629"/>
    <w:rsid w:val="303912F1"/>
    <w:rsid w:val="307E3BCE"/>
    <w:rsid w:val="309752BA"/>
    <w:rsid w:val="309E4279"/>
    <w:rsid w:val="30E28B73"/>
    <w:rsid w:val="30E3D7F6"/>
    <w:rsid w:val="30F9222D"/>
    <w:rsid w:val="31046508"/>
    <w:rsid w:val="31071CB5"/>
    <w:rsid w:val="3109263C"/>
    <w:rsid w:val="3142901D"/>
    <w:rsid w:val="315CAA55"/>
    <w:rsid w:val="318BC5AE"/>
    <w:rsid w:val="31DA176C"/>
    <w:rsid w:val="31FFC2FF"/>
    <w:rsid w:val="32520A82"/>
    <w:rsid w:val="328044EA"/>
    <w:rsid w:val="3291FF26"/>
    <w:rsid w:val="32D14685"/>
    <w:rsid w:val="33335CF0"/>
    <w:rsid w:val="337D6DC2"/>
    <w:rsid w:val="337E3B68"/>
    <w:rsid w:val="33A284B7"/>
    <w:rsid w:val="33A28564"/>
    <w:rsid w:val="343158F6"/>
    <w:rsid w:val="3453C5CF"/>
    <w:rsid w:val="347207D3"/>
    <w:rsid w:val="3488BDA7"/>
    <w:rsid w:val="34A5986C"/>
    <w:rsid w:val="36071B6E"/>
    <w:rsid w:val="361F706E"/>
    <w:rsid w:val="36B7E47B"/>
    <w:rsid w:val="3745C34B"/>
    <w:rsid w:val="374DCC1B"/>
    <w:rsid w:val="37559514"/>
    <w:rsid w:val="379ACBF1"/>
    <w:rsid w:val="37C59BCA"/>
    <w:rsid w:val="380BD83C"/>
    <w:rsid w:val="3832286A"/>
    <w:rsid w:val="3838D553"/>
    <w:rsid w:val="3841E29A"/>
    <w:rsid w:val="38574ED9"/>
    <w:rsid w:val="38622D3E"/>
    <w:rsid w:val="38622D6F"/>
    <w:rsid w:val="38D0E0AF"/>
    <w:rsid w:val="38E6A415"/>
    <w:rsid w:val="3900F55E"/>
    <w:rsid w:val="3921CC3E"/>
    <w:rsid w:val="394AD275"/>
    <w:rsid w:val="399A5E79"/>
    <w:rsid w:val="39BAA272"/>
    <w:rsid w:val="39C46B9E"/>
    <w:rsid w:val="39CB59DF"/>
    <w:rsid w:val="39CFBDFA"/>
    <w:rsid w:val="3A262968"/>
    <w:rsid w:val="3A9B2C2C"/>
    <w:rsid w:val="3B5F0D7D"/>
    <w:rsid w:val="3B8E7BC8"/>
    <w:rsid w:val="3BB51A32"/>
    <w:rsid w:val="3BE1FDA0"/>
    <w:rsid w:val="3C425ADF"/>
    <w:rsid w:val="3C5C2450"/>
    <w:rsid w:val="3C67A149"/>
    <w:rsid w:val="3D2B9F09"/>
    <w:rsid w:val="3D2E2D63"/>
    <w:rsid w:val="3D2F7321"/>
    <w:rsid w:val="3D4D34A1"/>
    <w:rsid w:val="3D98491D"/>
    <w:rsid w:val="3DB447FB"/>
    <w:rsid w:val="3DC26410"/>
    <w:rsid w:val="3DDA5628"/>
    <w:rsid w:val="3DF7A7DF"/>
    <w:rsid w:val="3E06BEF4"/>
    <w:rsid w:val="3E1E6937"/>
    <w:rsid w:val="3E469C07"/>
    <w:rsid w:val="3E57504D"/>
    <w:rsid w:val="3E93C0AD"/>
    <w:rsid w:val="3EC187DC"/>
    <w:rsid w:val="3F05558C"/>
    <w:rsid w:val="3F0ACF3E"/>
    <w:rsid w:val="3F557F5F"/>
    <w:rsid w:val="3F729297"/>
    <w:rsid w:val="401B7369"/>
    <w:rsid w:val="4021BD0D"/>
    <w:rsid w:val="403B5D84"/>
    <w:rsid w:val="40E89913"/>
    <w:rsid w:val="40EE671E"/>
    <w:rsid w:val="41008EF2"/>
    <w:rsid w:val="4167F0A3"/>
    <w:rsid w:val="41A9CFE3"/>
    <w:rsid w:val="42811AA6"/>
    <w:rsid w:val="428AD7C4"/>
    <w:rsid w:val="42993724"/>
    <w:rsid w:val="42AF0DC5"/>
    <w:rsid w:val="4346389D"/>
    <w:rsid w:val="437BF611"/>
    <w:rsid w:val="43BD263F"/>
    <w:rsid w:val="43DEF1AC"/>
    <w:rsid w:val="442DFDED"/>
    <w:rsid w:val="445B9883"/>
    <w:rsid w:val="445BB7E0"/>
    <w:rsid w:val="44790717"/>
    <w:rsid w:val="44BD2B7C"/>
    <w:rsid w:val="44BE7D0E"/>
    <w:rsid w:val="44C63B69"/>
    <w:rsid w:val="44F3E8F7"/>
    <w:rsid w:val="452A5624"/>
    <w:rsid w:val="453B35B2"/>
    <w:rsid w:val="4562454E"/>
    <w:rsid w:val="45B92776"/>
    <w:rsid w:val="45F67ABB"/>
    <w:rsid w:val="4628FE14"/>
    <w:rsid w:val="464E3DE2"/>
    <w:rsid w:val="467BD230"/>
    <w:rsid w:val="46A7641D"/>
    <w:rsid w:val="46C376D7"/>
    <w:rsid w:val="470B1123"/>
    <w:rsid w:val="4722457F"/>
    <w:rsid w:val="475E430E"/>
    <w:rsid w:val="48218330"/>
    <w:rsid w:val="484AA9F0"/>
    <w:rsid w:val="48995CE0"/>
    <w:rsid w:val="48A72FF8"/>
    <w:rsid w:val="48B87E4A"/>
    <w:rsid w:val="49139DD2"/>
    <w:rsid w:val="4946E280"/>
    <w:rsid w:val="49488744"/>
    <w:rsid w:val="49564A7A"/>
    <w:rsid w:val="4990D983"/>
    <w:rsid w:val="49E38A78"/>
    <w:rsid w:val="49F422FE"/>
    <w:rsid w:val="4A373B28"/>
    <w:rsid w:val="4A68CD6F"/>
    <w:rsid w:val="4B2A41AF"/>
    <w:rsid w:val="4B49DEBC"/>
    <w:rsid w:val="4B4B67C8"/>
    <w:rsid w:val="4B68EBC2"/>
    <w:rsid w:val="4C0F305F"/>
    <w:rsid w:val="4C49E1CF"/>
    <w:rsid w:val="4C99BDE9"/>
    <w:rsid w:val="4CA45A5F"/>
    <w:rsid w:val="4CB21D4E"/>
    <w:rsid w:val="4D0017E9"/>
    <w:rsid w:val="4DB08123"/>
    <w:rsid w:val="4DD7DA6F"/>
    <w:rsid w:val="4DEA2615"/>
    <w:rsid w:val="4DF260F8"/>
    <w:rsid w:val="4E20E896"/>
    <w:rsid w:val="4E72F938"/>
    <w:rsid w:val="4E8151BE"/>
    <w:rsid w:val="4EB977B1"/>
    <w:rsid w:val="4EFE8829"/>
    <w:rsid w:val="4F116F85"/>
    <w:rsid w:val="4F45478B"/>
    <w:rsid w:val="4FCBE259"/>
    <w:rsid w:val="50099412"/>
    <w:rsid w:val="504B1E8C"/>
    <w:rsid w:val="504C9F11"/>
    <w:rsid w:val="50941D04"/>
    <w:rsid w:val="509F1205"/>
    <w:rsid w:val="50C6553C"/>
    <w:rsid w:val="51060D00"/>
    <w:rsid w:val="51489611"/>
    <w:rsid w:val="517EFFAF"/>
    <w:rsid w:val="518F0E75"/>
    <w:rsid w:val="51C6EB1F"/>
    <w:rsid w:val="51F3F68F"/>
    <w:rsid w:val="5257E699"/>
    <w:rsid w:val="52B34C4E"/>
    <w:rsid w:val="5311F08E"/>
    <w:rsid w:val="5336E606"/>
    <w:rsid w:val="534E71BD"/>
    <w:rsid w:val="53DE1198"/>
    <w:rsid w:val="541B0D99"/>
    <w:rsid w:val="54212339"/>
    <w:rsid w:val="548C7EA5"/>
    <w:rsid w:val="549C7EAD"/>
    <w:rsid w:val="549F5C8B"/>
    <w:rsid w:val="54B142F7"/>
    <w:rsid w:val="54C04FA6"/>
    <w:rsid w:val="554B9719"/>
    <w:rsid w:val="5573279D"/>
    <w:rsid w:val="55DAD5F4"/>
    <w:rsid w:val="55E929CE"/>
    <w:rsid w:val="55F6E12F"/>
    <w:rsid w:val="560A435F"/>
    <w:rsid w:val="56559755"/>
    <w:rsid w:val="5687EBDC"/>
    <w:rsid w:val="56B62929"/>
    <w:rsid w:val="56B9E687"/>
    <w:rsid w:val="56BC0C05"/>
    <w:rsid w:val="56C91898"/>
    <w:rsid w:val="56E74D92"/>
    <w:rsid w:val="56F5C50C"/>
    <w:rsid w:val="573DDAAA"/>
    <w:rsid w:val="5744022C"/>
    <w:rsid w:val="57AEBCBF"/>
    <w:rsid w:val="581A21B4"/>
    <w:rsid w:val="58200B7C"/>
    <w:rsid w:val="584CE9A0"/>
    <w:rsid w:val="58C2DFE9"/>
    <w:rsid w:val="5906A1E9"/>
    <w:rsid w:val="5942132F"/>
    <w:rsid w:val="5963807D"/>
    <w:rsid w:val="5975883B"/>
    <w:rsid w:val="598A83BD"/>
    <w:rsid w:val="599827D6"/>
    <w:rsid w:val="59F3458F"/>
    <w:rsid w:val="5A24EE89"/>
    <w:rsid w:val="5A404ABE"/>
    <w:rsid w:val="5A5E8E83"/>
    <w:rsid w:val="5AE10D0B"/>
    <w:rsid w:val="5B2F0268"/>
    <w:rsid w:val="5B786EB2"/>
    <w:rsid w:val="5B78C213"/>
    <w:rsid w:val="5BEEFF22"/>
    <w:rsid w:val="5C1F9B9E"/>
    <w:rsid w:val="5C46AEF8"/>
    <w:rsid w:val="5DB8D9BD"/>
    <w:rsid w:val="5DFAC007"/>
    <w:rsid w:val="5E24E0D9"/>
    <w:rsid w:val="5EE6737C"/>
    <w:rsid w:val="5F020C61"/>
    <w:rsid w:val="5F0BA7B1"/>
    <w:rsid w:val="5F2B4384"/>
    <w:rsid w:val="600CA2B9"/>
    <w:rsid w:val="6049D116"/>
    <w:rsid w:val="61023E87"/>
    <w:rsid w:val="61FA88B7"/>
    <w:rsid w:val="6224B418"/>
    <w:rsid w:val="6241BF9D"/>
    <w:rsid w:val="625D95B8"/>
    <w:rsid w:val="6288D873"/>
    <w:rsid w:val="62B2721C"/>
    <w:rsid w:val="62D5DFF2"/>
    <w:rsid w:val="634DF0B5"/>
    <w:rsid w:val="63771553"/>
    <w:rsid w:val="63A9BFDA"/>
    <w:rsid w:val="63C422EB"/>
    <w:rsid w:val="640F2A5E"/>
    <w:rsid w:val="64409277"/>
    <w:rsid w:val="6455C45F"/>
    <w:rsid w:val="645D7EFC"/>
    <w:rsid w:val="64701A2A"/>
    <w:rsid w:val="64A36E49"/>
    <w:rsid w:val="64B398BB"/>
    <w:rsid w:val="64DABB21"/>
    <w:rsid w:val="6578FA18"/>
    <w:rsid w:val="65B99F74"/>
    <w:rsid w:val="65C60177"/>
    <w:rsid w:val="6632E137"/>
    <w:rsid w:val="6638B4CF"/>
    <w:rsid w:val="663F8C54"/>
    <w:rsid w:val="666975EF"/>
    <w:rsid w:val="66D4710E"/>
    <w:rsid w:val="66DC3ACB"/>
    <w:rsid w:val="66DDF32B"/>
    <w:rsid w:val="6771ED63"/>
    <w:rsid w:val="67BA2514"/>
    <w:rsid w:val="67BDD216"/>
    <w:rsid w:val="67EBA87D"/>
    <w:rsid w:val="67F271C6"/>
    <w:rsid w:val="67FE2133"/>
    <w:rsid w:val="682D2C74"/>
    <w:rsid w:val="684705DF"/>
    <w:rsid w:val="6875901C"/>
    <w:rsid w:val="69159106"/>
    <w:rsid w:val="693DDDCB"/>
    <w:rsid w:val="69BE9DF7"/>
    <w:rsid w:val="69E2BAD5"/>
    <w:rsid w:val="6A1E3E6E"/>
    <w:rsid w:val="6A454F1D"/>
    <w:rsid w:val="6A611621"/>
    <w:rsid w:val="6A9CF7DE"/>
    <w:rsid w:val="6AA2B778"/>
    <w:rsid w:val="6AC4E0B0"/>
    <w:rsid w:val="6AED8E63"/>
    <w:rsid w:val="6B401684"/>
    <w:rsid w:val="6B46A0F1"/>
    <w:rsid w:val="6B51E3DD"/>
    <w:rsid w:val="6B679B67"/>
    <w:rsid w:val="6B8EC8F0"/>
    <w:rsid w:val="6B9190B9"/>
    <w:rsid w:val="6BC94681"/>
    <w:rsid w:val="6BDCE482"/>
    <w:rsid w:val="6BE62EDF"/>
    <w:rsid w:val="6BF88FC5"/>
    <w:rsid w:val="6C355CF0"/>
    <w:rsid w:val="6CD624D2"/>
    <w:rsid w:val="6CEB2957"/>
    <w:rsid w:val="6D0039C0"/>
    <w:rsid w:val="6D629C21"/>
    <w:rsid w:val="6D6CD343"/>
    <w:rsid w:val="6D7320AC"/>
    <w:rsid w:val="6D8B5F4A"/>
    <w:rsid w:val="6D98B17E"/>
    <w:rsid w:val="6DFA0C14"/>
    <w:rsid w:val="6E3163D1"/>
    <w:rsid w:val="6E859D01"/>
    <w:rsid w:val="6EA53D2F"/>
    <w:rsid w:val="7003A550"/>
    <w:rsid w:val="7023FF72"/>
    <w:rsid w:val="70AC60B5"/>
    <w:rsid w:val="70AEA204"/>
    <w:rsid w:val="714C3088"/>
    <w:rsid w:val="71C564AF"/>
    <w:rsid w:val="71ED65A7"/>
    <w:rsid w:val="72039F0F"/>
    <w:rsid w:val="72101E83"/>
    <w:rsid w:val="72222BBB"/>
    <w:rsid w:val="729E92AD"/>
    <w:rsid w:val="73315844"/>
    <w:rsid w:val="733B651B"/>
    <w:rsid w:val="73493D64"/>
    <w:rsid w:val="73A6240D"/>
    <w:rsid w:val="73E568BB"/>
    <w:rsid w:val="743020F2"/>
    <w:rsid w:val="7436BEAA"/>
    <w:rsid w:val="746B14D4"/>
    <w:rsid w:val="74848751"/>
    <w:rsid w:val="748A1C8B"/>
    <w:rsid w:val="74BEAEAC"/>
    <w:rsid w:val="74E93BCC"/>
    <w:rsid w:val="74F3DEF7"/>
    <w:rsid w:val="756292FB"/>
    <w:rsid w:val="75722A8B"/>
    <w:rsid w:val="75A03155"/>
    <w:rsid w:val="75B8CB2A"/>
    <w:rsid w:val="75E34E51"/>
    <w:rsid w:val="7658745B"/>
    <w:rsid w:val="768D9EDD"/>
    <w:rsid w:val="76B4BB90"/>
    <w:rsid w:val="7732BB99"/>
    <w:rsid w:val="77452936"/>
    <w:rsid w:val="77F02CF1"/>
    <w:rsid w:val="77FBCDC7"/>
    <w:rsid w:val="7905A195"/>
    <w:rsid w:val="79480C47"/>
    <w:rsid w:val="794C64EE"/>
    <w:rsid w:val="79656D46"/>
    <w:rsid w:val="798D23F9"/>
    <w:rsid w:val="79C8146C"/>
    <w:rsid w:val="79F3E83C"/>
    <w:rsid w:val="7A591EDF"/>
    <w:rsid w:val="7AA4508B"/>
    <w:rsid w:val="7AA862E8"/>
    <w:rsid w:val="7ABBED6E"/>
    <w:rsid w:val="7AE0EACF"/>
    <w:rsid w:val="7AEB8DD3"/>
    <w:rsid w:val="7B18E3F1"/>
    <w:rsid w:val="7B4EEFD4"/>
    <w:rsid w:val="7B6C8276"/>
    <w:rsid w:val="7B745434"/>
    <w:rsid w:val="7BD37364"/>
    <w:rsid w:val="7CA088A3"/>
    <w:rsid w:val="7CB23F78"/>
    <w:rsid w:val="7D5B78CC"/>
    <w:rsid w:val="7D8944DE"/>
    <w:rsid w:val="7D99AE7D"/>
    <w:rsid w:val="7EA90361"/>
    <w:rsid w:val="7EABD83F"/>
    <w:rsid w:val="7ED8006A"/>
    <w:rsid w:val="7F103AD5"/>
    <w:rsid w:val="7FC74709"/>
    <w:rsid w:val="7FCD4F1D"/>
    <w:rsid w:val="7FD947B8"/>
    <w:rsid w:val="7FDAD5D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9C4308"/>
  <w15:chartTrackingRefBased/>
  <w15:docId w15:val="{5305B245-57FD-44BC-8B28-B290285347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9" w:semiHidden="1" w:unhideWhenUsed="1" w:qFormat="1"/>
    <w:lsdException w:name="heading 4" w:uiPriority="9" w:semiHidden="1" w:unhideWhenUsed="1" w:qFormat="1"/>
    <w:lsdException w:name="heading 5" w:uiPriority="0" w:semiHidden="1" w:unhideWhenUsed="1" w:qFormat="1"/>
    <w:lsdException w:name="heading 6" w:uiPriority="9" w:semiHidden="1" w:unhideWhenUsed="1" w:qFormat="1"/>
    <w:lsdException w:name="heading 7" w:uiPriority="9"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E55E6D"/>
    <w:pPr>
      <w:spacing w:after="120" w:line="264" w:lineRule="auto"/>
    </w:pPr>
    <w:rPr>
      <w:rFonts w:eastAsiaTheme="minorEastAsia"/>
      <w:kern w:val="0"/>
      <w:sz w:val="20"/>
      <w:szCs w:val="20"/>
      <w14:ligatures w14:val="none"/>
    </w:rPr>
  </w:style>
  <w:style w:type="paragraph" w:styleId="Ttulo1">
    <w:name w:val="heading 1"/>
    <w:aliases w:val="TITULO,TITULO 1 - PIOM,N,Cent,título 1,TítuloB,1,Edgar 1"/>
    <w:basedOn w:val="Normal"/>
    <w:next w:val="Normal"/>
    <w:link w:val="Ttulo1Car"/>
    <w:qFormat/>
    <w:rsid w:val="00AF7478"/>
    <w:pPr>
      <w:keepNext/>
      <w:keepLines/>
      <w:spacing w:before="320" w:after="0" w:line="240" w:lineRule="auto"/>
      <w:outlineLvl w:val="0"/>
    </w:pPr>
    <w:rPr>
      <w:rFonts w:asciiTheme="majorHAnsi" w:hAnsiTheme="majorHAnsi" w:eastAsiaTheme="majorEastAsia" w:cstheme="majorBidi"/>
      <w:color w:val="2F5496" w:themeColor="accent1" w:themeShade="BF"/>
      <w:sz w:val="32"/>
      <w:szCs w:val="32"/>
    </w:rPr>
  </w:style>
  <w:style w:type="paragraph" w:styleId="Ttulo2">
    <w:name w:val="heading 2"/>
    <w:aliases w:val="Edgar 2,Neg,título 2 PIOM,título 2"/>
    <w:basedOn w:val="Normal"/>
    <w:next w:val="Normal"/>
    <w:link w:val="Ttulo2Car"/>
    <w:unhideWhenUsed/>
    <w:qFormat/>
    <w:rsid w:val="00AF7478"/>
    <w:pPr>
      <w:keepNext/>
      <w:keepLines/>
      <w:spacing w:before="80" w:after="0" w:line="240" w:lineRule="auto"/>
      <w:outlineLvl w:val="1"/>
    </w:pPr>
    <w:rPr>
      <w:rFonts w:asciiTheme="majorHAnsi" w:hAnsiTheme="majorHAnsi" w:eastAsiaTheme="majorEastAsia" w:cstheme="majorBidi"/>
      <w:color w:val="404040" w:themeColor="text1" w:themeTint="BF"/>
      <w:sz w:val="28"/>
      <w:szCs w:val="28"/>
    </w:rPr>
  </w:style>
  <w:style w:type="paragraph" w:styleId="Ttulo3">
    <w:name w:val="heading 3"/>
    <w:aliases w:val="Título 3 PIOM,Sub,Sub1,Sub2,Sub11,Tres Numerales,título 3,a) Texto, Car"/>
    <w:basedOn w:val="Normal"/>
    <w:next w:val="Normal"/>
    <w:link w:val="Ttulo3Car"/>
    <w:uiPriority w:val="9"/>
    <w:unhideWhenUsed/>
    <w:qFormat/>
    <w:rsid w:val="00AF7478"/>
    <w:pPr>
      <w:keepNext/>
      <w:keepLines/>
      <w:spacing w:before="40" w:after="0" w:line="240" w:lineRule="auto"/>
      <w:outlineLvl w:val="2"/>
    </w:pPr>
    <w:rPr>
      <w:rFonts w:asciiTheme="majorHAnsi" w:hAnsiTheme="majorHAnsi" w:eastAsiaTheme="majorEastAsia" w:cstheme="majorBidi"/>
      <w:color w:val="44546A" w:themeColor="text2"/>
      <w:sz w:val="24"/>
      <w:szCs w:val="24"/>
    </w:rPr>
  </w:style>
  <w:style w:type="paragraph" w:styleId="Ttulo4">
    <w:name w:val="heading 4"/>
    <w:aliases w:val="Título 4 CAC,ING-PORCE III (T4),Edgar 4,ING,PORCE III (T4)"/>
    <w:basedOn w:val="Normal"/>
    <w:next w:val="Normal"/>
    <w:link w:val="Ttulo4Car"/>
    <w:uiPriority w:val="9"/>
    <w:unhideWhenUsed/>
    <w:qFormat/>
    <w:rsid w:val="00AF7478"/>
    <w:pPr>
      <w:keepNext/>
      <w:keepLines/>
      <w:spacing w:before="40" w:after="0"/>
      <w:outlineLvl w:val="3"/>
    </w:pPr>
    <w:rPr>
      <w:rFonts w:asciiTheme="majorHAnsi" w:hAnsiTheme="majorHAnsi" w:eastAsiaTheme="majorEastAsia" w:cstheme="majorBidi"/>
      <w:sz w:val="22"/>
      <w:szCs w:val="22"/>
    </w:rPr>
  </w:style>
  <w:style w:type="paragraph" w:styleId="Ttulo5">
    <w:name w:val="heading 5"/>
    <w:basedOn w:val="Normal"/>
    <w:next w:val="Normal"/>
    <w:link w:val="Ttulo5Car"/>
    <w:unhideWhenUsed/>
    <w:qFormat/>
    <w:rsid w:val="00AF7478"/>
    <w:pPr>
      <w:keepNext/>
      <w:keepLines/>
      <w:spacing w:before="40" w:after="0"/>
      <w:outlineLvl w:val="4"/>
    </w:pPr>
    <w:rPr>
      <w:rFonts w:asciiTheme="majorHAnsi" w:hAnsiTheme="majorHAnsi" w:eastAsiaTheme="majorEastAsia" w:cstheme="majorBidi"/>
      <w:color w:val="44546A" w:themeColor="text2"/>
      <w:sz w:val="22"/>
      <w:szCs w:val="22"/>
    </w:rPr>
  </w:style>
  <w:style w:type="paragraph" w:styleId="Ttulo6">
    <w:name w:val="heading 6"/>
    <w:basedOn w:val="Normal"/>
    <w:next w:val="Normal"/>
    <w:link w:val="Ttulo6Car"/>
    <w:uiPriority w:val="9"/>
    <w:unhideWhenUsed/>
    <w:qFormat/>
    <w:rsid w:val="00AF7478"/>
    <w:pPr>
      <w:keepNext/>
      <w:keepLines/>
      <w:spacing w:before="40" w:after="0"/>
      <w:outlineLvl w:val="5"/>
    </w:pPr>
    <w:rPr>
      <w:rFonts w:asciiTheme="majorHAnsi" w:hAnsiTheme="majorHAnsi" w:eastAsiaTheme="majorEastAsia" w:cstheme="majorBidi"/>
      <w:i/>
      <w:iCs/>
      <w:color w:val="44546A" w:themeColor="text2"/>
      <w:sz w:val="21"/>
      <w:szCs w:val="21"/>
    </w:rPr>
  </w:style>
  <w:style w:type="paragraph" w:styleId="Ttulo7">
    <w:name w:val="heading 7"/>
    <w:basedOn w:val="Normal"/>
    <w:next w:val="Normal"/>
    <w:link w:val="Ttulo7Car"/>
    <w:uiPriority w:val="9"/>
    <w:unhideWhenUsed/>
    <w:qFormat/>
    <w:rsid w:val="00AF7478"/>
    <w:pPr>
      <w:keepNext/>
      <w:keepLines/>
      <w:spacing w:before="40" w:after="0"/>
      <w:outlineLvl w:val="6"/>
    </w:pPr>
    <w:rPr>
      <w:rFonts w:asciiTheme="majorHAnsi" w:hAnsiTheme="majorHAnsi" w:eastAsiaTheme="majorEastAsia" w:cstheme="majorBidi"/>
      <w:i/>
      <w:iCs/>
      <w:color w:val="1F3864" w:themeColor="accent1" w:themeShade="80"/>
      <w:sz w:val="21"/>
      <w:szCs w:val="21"/>
    </w:rPr>
  </w:style>
  <w:style w:type="paragraph" w:styleId="Ttulo8">
    <w:name w:val="heading 8"/>
    <w:basedOn w:val="Normal"/>
    <w:next w:val="Normal"/>
    <w:link w:val="Ttulo8Car"/>
    <w:unhideWhenUsed/>
    <w:qFormat/>
    <w:rsid w:val="00AF7478"/>
    <w:pPr>
      <w:keepNext/>
      <w:keepLines/>
      <w:spacing w:before="40" w:after="0"/>
      <w:outlineLvl w:val="7"/>
    </w:pPr>
    <w:rPr>
      <w:rFonts w:asciiTheme="majorHAnsi" w:hAnsiTheme="majorHAnsi" w:eastAsiaTheme="majorEastAsia" w:cstheme="majorBidi"/>
      <w:b/>
      <w:bCs/>
      <w:color w:val="44546A" w:themeColor="text2"/>
    </w:rPr>
  </w:style>
  <w:style w:type="paragraph" w:styleId="Ttulo9">
    <w:name w:val="heading 9"/>
    <w:basedOn w:val="Normal"/>
    <w:next w:val="Normal"/>
    <w:link w:val="Ttulo9Car"/>
    <w:unhideWhenUsed/>
    <w:qFormat/>
    <w:rsid w:val="00AF7478"/>
    <w:pPr>
      <w:keepNext/>
      <w:keepLines/>
      <w:spacing w:before="40" w:after="0"/>
      <w:outlineLvl w:val="8"/>
    </w:pPr>
    <w:rPr>
      <w:rFonts w:asciiTheme="majorHAnsi" w:hAnsiTheme="majorHAnsi" w:eastAsiaTheme="majorEastAsia" w:cstheme="majorBidi"/>
      <w:b/>
      <w:bCs/>
      <w:i/>
      <w:iCs/>
      <w:color w:val="44546A" w:themeColor="text2"/>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aliases w:val="encabezado,Encabezado1,Encabezado_pagina,Encabezado Car Car,Encabezado Car Car Car Car Car,Encabezado Car Car Car,Tablas,h,Header Bold,TENDER,Encabezado2,Encabezado Linea 1,Haut de page,Encabezado11,encabezado1,Encabezado12,encabezado2"/>
    <w:basedOn w:val="Normal"/>
    <w:link w:val="EncabezadoCar"/>
    <w:uiPriority w:val="99"/>
    <w:unhideWhenUsed/>
    <w:rsid w:val="00757B36"/>
    <w:pPr>
      <w:tabs>
        <w:tab w:val="center" w:pos="4419"/>
        <w:tab w:val="right" w:pos="8838"/>
      </w:tabs>
      <w:spacing w:after="0" w:line="240" w:lineRule="auto"/>
    </w:pPr>
  </w:style>
  <w:style w:type="character" w:styleId="EncabezadoCar" w:customStyle="1">
    <w:name w:val="Encabezado Car"/>
    <w:aliases w:val="encabezado Car,Encabezado1 Car,Encabezado_pagina Car,Encabezado Car Car Car1,Encabezado Car Car Car Car Car Car,Encabezado Car Car Car Car,Tablas Car,h Car,Header Bold Car,TENDER Car,Encabezado2 Car,Encabezado Linea 1 Car,Haut de page Car"/>
    <w:basedOn w:val="Fuentedeprrafopredeter"/>
    <w:link w:val="Encabezado"/>
    <w:uiPriority w:val="99"/>
    <w:rsid w:val="00757B36"/>
  </w:style>
  <w:style w:type="paragraph" w:styleId="Piedepgina">
    <w:name w:val="footer"/>
    <w:aliases w:val="Ref_tabla_figura_fotografia,Referencia de Documento,pie de página,Bas de page,Pie de página1"/>
    <w:basedOn w:val="Normal"/>
    <w:link w:val="PiedepginaCar"/>
    <w:uiPriority w:val="99"/>
    <w:unhideWhenUsed/>
    <w:rsid w:val="00757B36"/>
    <w:pPr>
      <w:tabs>
        <w:tab w:val="center" w:pos="4419"/>
        <w:tab w:val="right" w:pos="8838"/>
      </w:tabs>
      <w:spacing w:after="0" w:line="240" w:lineRule="auto"/>
    </w:pPr>
  </w:style>
  <w:style w:type="character" w:styleId="PiedepginaCar" w:customStyle="1">
    <w:name w:val="Pie de página Car"/>
    <w:aliases w:val="Ref_tabla_figura_fotografia Car,Referencia de Documento Car,pie de página Car,Bas de page Car,Pie de página1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styleId="Mencinsinresolver1" w:customStyle="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aliases w:val="Cita textual,Lista vistosa - Énfasis 11,Párrafo de tabla,Bolita,Segunda viñeta,Viñeta,Párrafo de lista2,Párrafo de lista3,Párrafo de lista21,BOLA,HOJA,BOLADEF,Titulo 8,Guión,Párrafo de lista31,BOLITA,Viñeta 2,Bola,Título de Diagrama"/>
    <w:basedOn w:val="Normal"/>
    <w:link w:val="PrrafodelistaCar"/>
    <w:uiPriority w:val="34"/>
    <w:qFormat/>
    <w:rsid w:val="00757B36"/>
    <w:pPr>
      <w:ind w:left="720"/>
      <w:contextualSpacing/>
    </w:pPr>
  </w:style>
  <w:style w:type="paragraph" w:styleId="Textocomentario">
    <w:name w:val="annotation text"/>
    <w:basedOn w:val="Normal"/>
    <w:link w:val="TextocomentarioCar"/>
    <w:unhideWhenUsed/>
    <w:pPr>
      <w:spacing w:line="240" w:lineRule="auto"/>
    </w:pPr>
  </w:style>
  <w:style w:type="character" w:styleId="TextocomentarioCar" w:customStyle="1">
    <w:name w:val="Texto comentario Car"/>
    <w:basedOn w:val="Fuentedeprrafopredeter"/>
    <w:link w:val="Textocomentario"/>
    <w:rPr>
      <w:sz w:val="20"/>
      <w:szCs w:val="20"/>
    </w:rPr>
  </w:style>
  <w:style w:type="character" w:styleId="Refdecomentario">
    <w:name w:val="annotation reference"/>
    <w:basedOn w:val="Fuentedeprrafopredeter"/>
    <w:unhideWhenUsed/>
    <w:rPr>
      <w:sz w:val="16"/>
      <w:szCs w:val="16"/>
    </w:rPr>
  </w:style>
  <w:style w:type="paragraph" w:styleId="paragraph" w:customStyle="1">
    <w:name w:val="paragraph"/>
    <w:basedOn w:val="Normal"/>
    <w:rsid w:val="00975C6E"/>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normaltextrun" w:customStyle="1">
    <w:name w:val="normaltextrun"/>
    <w:basedOn w:val="Fuentedeprrafopredeter"/>
    <w:rsid w:val="00975C6E"/>
  </w:style>
  <w:style w:type="character" w:styleId="eop" w:customStyle="1">
    <w:name w:val="eop"/>
    <w:basedOn w:val="Fuentedeprrafopredeter"/>
    <w:rsid w:val="00975C6E"/>
  </w:style>
  <w:style w:type="paragraph" w:styleId="Asuntodelcomentario">
    <w:name w:val="annotation subject"/>
    <w:basedOn w:val="Textocomentario"/>
    <w:next w:val="Textocomentario"/>
    <w:link w:val="AsuntodelcomentarioCar"/>
    <w:unhideWhenUsed/>
    <w:rsid w:val="00F60C0A"/>
    <w:rPr>
      <w:b/>
      <w:bCs/>
    </w:rPr>
  </w:style>
  <w:style w:type="character" w:styleId="AsuntodelcomentarioCar" w:customStyle="1">
    <w:name w:val="Asunto del comentario Car"/>
    <w:basedOn w:val="TextocomentarioCar"/>
    <w:link w:val="Asuntodelcomentario"/>
    <w:rsid w:val="00F60C0A"/>
    <w:rPr>
      <w:b/>
      <w:bCs/>
      <w:sz w:val="20"/>
      <w:szCs w:val="20"/>
    </w:rPr>
  </w:style>
  <w:style w:type="table" w:styleId="Tablaconcuadrcula">
    <w:name w:val="Table Grid"/>
    <w:basedOn w:val="Tablanormal"/>
    <w:uiPriority w:val="39"/>
    <w:rsid w:val="00B51C17"/>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Ttulo1Car" w:customStyle="1">
    <w:name w:val="Título 1 Car"/>
    <w:aliases w:val="TITULO Car,TITULO 1 - PIOM Car,N Car,Cent Car,título 1 Car,TítuloB Car,1 Car,Edgar 1 Car"/>
    <w:basedOn w:val="Fuentedeprrafopredeter"/>
    <w:link w:val="Ttulo1"/>
    <w:rsid w:val="00AF7478"/>
    <w:rPr>
      <w:rFonts w:asciiTheme="majorHAnsi" w:hAnsiTheme="majorHAnsi" w:eastAsiaTheme="majorEastAsia" w:cstheme="majorBidi"/>
      <w:color w:val="2F5496" w:themeColor="accent1" w:themeShade="BF"/>
      <w:kern w:val="0"/>
      <w:sz w:val="32"/>
      <w:szCs w:val="32"/>
      <w14:ligatures w14:val="none"/>
    </w:rPr>
  </w:style>
  <w:style w:type="character" w:styleId="Ttulo2Car" w:customStyle="1">
    <w:name w:val="Título 2 Car"/>
    <w:aliases w:val="Edgar 2 Car,Neg Car,título 2 PIOM Car,título 2 Car"/>
    <w:basedOn w:val="Fuentedeprrafopredeter"/>
    <w:link w:val="Ttulo2"/>
    <w:rsid w:val="00AF7478"/>
    <w:rPr>
      <w:rFonts w:asciiTheme="majorHAnsi" w:hAnsiTheme="majorHAnsi" w:eastAsiaTheme="majorEastAsia" w:cstheme="majorBidi"/>
      <w:color w:val="404040" w:themeColor="text1" w:themeTint="BF"/>
      <w:kern w:val="0"/>
      <w:sz w:val="28"/>
      <w:szCs w:val="28"/>
      <w14:ligatures w14:val="none"/>
    </w:rPr>
  </w:style>
  <w:style w:type="character" w:styleId="Ttulo3Car" w:customStyle="1">
    <w:name w:val="Título 3 Car"/>
    <w:aliases w:val="Título 3 PIOM Car,Sub Car,Sub1 Car,Sub2 Car,Sub11 Car,Tres Numerales Car,título 3 Car,a) Texto Car, Car Car"/>
    <w:basedOn w:val="Fuentedeprrafopredeter"/>
    <w:link w:val="Ttulo3"/>
    <w:uiPriority w:val="9"/>
    <w:rsid w:val="00AF7478"/>
    <w:rPr>
      <w:rFonts w:asciiTheme="majorHAnsi" w:hAnsiTheme="majorHAnsi" w:eastAsiaTheme="majorEastAsia" w:cstheme="majorBidi"/>
      <w:color w:val="44546A" w:themeColor="text2"/>
      <w:kern w:val="0"/>
      <w:sz w:val="24"/>
      <w:szCs w:val="24"/>
      <w14:ligatures w14:val="none"/>
    </w:rPr>
  </w:style>
  <w:style w:type="character" w:styleId="Ttulo4Car" w:customStyle="1">
    <w:name w:val="Título 4 Car"/>
    <w:aliases w:val="Título 4 CAC Car,ING-PORCE III (T4) Car,Edgar 4 Car,ING Car,PORCE III (T4) Car"/>
    <w:basedOn w:val="Fuentedeprrafopredeter"/>
    <w:link w:val="Ttulo4"/>
    <w:uiPriority w:val="9"/>
    <w:rsid w:val="00AF7478"/>
    <w:rPr>
      <w:rFonts w:asciiTheme="majorHAnsi" w:hAnsiTheme="majorHAnsi" w:eastAsiaTheme="majorEastAsia" w:cstheme="majorBidi"/>
      <w:kern w:val="0"/>
      <w14:ligatures w14:val="none"/>
    </w:rPr>
  </w:style>
  <w:style w:type="character" w:styleId="Ttulo5Car" w:customStyle="1">
    <w:name w:val="Título 5 Car"/>
    <w:basedOn w:val="Fuentedeprrafopredeter"/>
    <w:link w:val="Ttulo5"/>
    <w:rsid w:val="00AF7478"/>
    <w:rPr>
      <w:rFonts w:asciiTheme="majorHAnsi" w:hAnsiTheme="majorHAnsi" w:eastAsiaTheme="majorEastAsia" w:cstheme="majorBidi"/>
      <w:color w:val="44546A" w:themeColor="text2"/>
      <w:kern w:val="0"/>
      <w14:ligatures w14:val="none"/>
    </w:rPr>
  </w:style>
  <w:style w:type="character" w:styleId="Ttulo6Car" w:customStyle="1">
    <w:name w:val="Título 6 Car"/>
    <w:basedOn w:val="Fuentedeprrafopredeter"/>
    <w:link w:val="Ttulo6"/>
    <w:uiPriority w:val="9"/>
    <w:rsid w:val="00AF7478"/>
    <w:rPr>
      <w:rFonts w:asciiTheme="majorHAnsi" w:hAnsiTheme="majorHAnsi" w:eastAsiaTheme="majorEastAsia" w:cstheme="majorBidi"/>
      <w:i/>
      <w:iCs/>
      <w:color w:val="44546A" w:themeColor="text2"/>
      <w:kern w:val="0"/>
      <w:sz w:val="21"/>
      <w:szCs w:val="21"/>
      <w14:ligatures w14:val="none"/>
    </w:rPr>
  </w:style>
  <w:style w:type="character" w:styleId="Ttulo7Car" w:customStyle="1">
    <w:name w:val="Título 7 Car"/>
    <w:basedOn w:val="Fuentedeprrafopredeter"/>
    <w:link w:val="Ttulo7"/>
    <w:uiPriority w:val="9"/>
    <w:rsid w:val="00AF7478"/>
    <w:rPr>
      <w:rFonts w:asciiTheme="majorHAnsi" w:hAnsiTheme="majorHAnsi" w:eastAsiaTheme="majorEastAsia" w:cstheme="majorBidi"/>
      <w:i/>
      <w:iCs/>
      <w:color w:val="1F3864" w:themeColor="accent1" w:themeShade="80"/>
      <w:kern w:val="0"/>
      <w:sz w:val="21"/>
      <w:szCs w:val="21"/>
      <w14:ligatures w14:val="none"/>
    </w:rPr>
  </w:style>
  <w:style w:type="character" w:styleId="Ttulo8Car" w:customStyle="1">
    <w:name w:val="Título 8 Car"/>
    <w:basedOn w:val="Fuentedeprrafopredeter"/>
    <w:link w:val="Ttulo8"/>
    <w:rsid w:val="00AF7478"/>
    <w:rPr>
      <w:rFonts w:asciiTheme="majorHAnsi" w:hAnsiTheme="majorHAnsi" w:eastAsiaTheme="majorEastAsia" w:cstheme="majorBidi"/>
      <w:b/>
      <w:bCs/>
      <w:color w:val="44546A" w:themeColor="text2"/>
      <w:kern w:val="0"/>
      <w:sz w:val="20"/>
      <w:szCs w:val="20"/>
      <w14:ligatures w14:val="none"/>
    </w:rPr>
  </w:style>
  <w:style w:type="character" w:styleId="Ttulo9Car" w:customStyle="1">
    <w:name w:val="Título 9 Car"/>
    <w:basedOn w:val="Fuentedeprrafopredeter"/>
    <w:link w:val="Ttulo9"/>
    <w:rsid w:val="00AF7478"/>
    <w:rPr>
      <w:rFonts w:asciiTheme="majorHAnsi" w:hAnsiTheme="majorHAnsi" w:eastAsiaTheme="majorEastAsia" w:cstheme="majorBidi"/>
      <w:b/>
      <w:bCs/>
      <w:i/>
      <w:iCs/>
      <w:color w:val="44546A" w:themeColor="text2"/>
      <w:kern w:val="0"/>
      <w:sz w:val="20"/>
      <w:szCs w:val="20"/>
      <w14:ligatures w14:val="none"/>
    </w:rPr>
  </w:style>
  <w:style w:type="paragraph" w:styleId="NormalWeb">
    <w:name w:val="Normal (Web)"/>
    <w:basedOn w:val="Normal"/>
    <w:uiPriority w:val="99"/>
    <w:unhideWhenUsed/>
    <w:rsid w:val="00AF7478"/>
    <w:pPr>
      <w:spacing w:before="100" w:beforeAutospacing="1" w:after="100" w:afterAutospacing="1"/>
    </w:pPr>
  </w:style>
  <w:style w:type="paragraph" w:styleId="Textodeglobo">
    <w:name w:val="Balloon Text"/>
    <w:basedOn w:val="Normal"/>
    <w:link w:val="TextodegloboCar"/>
    <w:uiPriority w:val="99"/>
    <w:unhideWhenUsed/>
    <w:rsid w:val="00AF7478"/>
    <w:rPr>
      <w:rFonts w:ascii="Tahoma" w:hAnsi="Tahoma" w:cs="Tahoma"/>
      <w:sz w:val="16"/>
      <w:szCs w:val="16"/>
    </w:rPr>
  </w:style>
  <w:style w:type="character" w:styleId="TextodegloboCar" w:customStyle="1">
    <w:name w:val="Texto de globo Car"/>
    <w:basedOn w:val="Fuentedeprrafopredeter"/>
    <w:link w:val="Textodeglobo"/>
    <w:uiPriority w:val="99"/>
    <w:rsid w:val="00AF7478"/>
    <w:rPr>
      <w:rFonts w:ascii="Tahoma" w:hAnsi="Tahoma" w:cs="Tahoma" w:eastAsiaTheme="minorEastAsia"/>
      <w:kern w:val="0"/>
      <w:sz w:val="16"/>
      <w:szCs w:val="16"/>
      <w14:ligatures w14:val="none"/>
    </w:rPr>
  </w:style>
  <w:style w:type="paragraph" w:styleId="Descripcin">
    <w:name w:val="caption"/>
    <w:aliases w:val="Anexo,A,artículos,Epígrafe Car1,Epígrafe Car2,Epígrafe Car3,Epígrafe Car4,Epígrafe Car5,Epígrafe Car6,Epígrafe Car7,Epígrafe Car8,Epígrafe Car9,Epígrafe Car11,Epígrafe Car21,Epígrafe Car31,Epígrafe Car41,Epígrafe Car51,Epígrafe Car61,Car11"/>
    <w:basedOn w:val="Normal"/>
    <w:next w:val="Normal"/>
    <w:link w:val="DescripcinCar"/>
    <w:uiPriority w:val="35"/>
    <w:unhideWhenUsed/>
    <w:qFormat/>
    <w:rsid w:val="00AF7478"/>
    <w:pPr>
      <w:spacing w:line="240" w:lineRule="auto"/>
    </w:pPr>
    <w:rPr>
      <w:b/>
      <w:bCs/>
      <w:smallCaps/>
      <w:color w:val="595959" w:themeColor="text1" w:themeTint="A6"/>
      <w:spacing w:val="6"/>
    </w:rPr>
  </w:style>
  <w:style w:type="paragraph" w:styleId="Textonotapie">
    <w:name w:val="footnote text"/>
    <w:aliases w:val="texto de nota al pie,Nota a pie/Bibliog,Texto nota pie Car1,Texto nota pie Car Car,Car1 Car Car,Car1 Car2,Car1,ft Car Car,ft Car,Texto nota pie Car11,Texto nota pie Car Car1,Car1 Car Car1,Car1 Car21,Car11 Car Car,Car11 Car,ft,FA Fu,p,fn,f"/>
    <w:basedOn w:val="Normal"/>
    <w:link w:val="TextonotapieCar"/>
    <w:uiPriority w:val="99"/>
    <w:unhideWhenUsed/>
    <w:qFormat/>
    <w:rsid w:val="00AF7478"/>
    <w:pPr>
      <w:jc w:val="both"/>
    </w:pPr>
    <w:rPr>
      <w:lang w:val="es-ES_tradnl"/>
    </w:rPr>
  </w:style>
  <w:style w:type="character" w:styleId="TextonotapieCar" w:customStyle="1">
    <w:name w:val="Texto nota pie Car"/>
    <w:aliases w:val="texto de nota al pie Car,Nota a pie/Bibliog Car,Texto nota pie Car1 Car,Texto nota pie Car Car Car,Car1 Car Car Car,Car1 Car2 Car,Car1 Car,ft Car Car Car,ft Car Car1,Texto nota pie Car11 Car,Texto nota pie Car Car1 Car,Car1 Car21 Car"/>
    <w:basedOn w:val="Fuentedeprrafopredeter"/>
    <w:link w:val="Textonotapie"/>
    <w:uiPriority w:val="99"/>
    <w:rsid w:val="00AF7478"/>
    <w:rPr>
      <w:rFonts w:eastAsiaTheme="minorEastAsia"/>
      <w:kern w:val="0"/>
      <w:sz w:val="20"/>
      <w:szCs w:val="20"/>
      <w:lang w:val="es-ES_tradnl"/>
      <w14:ligatures w14:val="none"/>
    </w:rPr>
  </w:style>
  <w:style w:type="character" w:styleId="Refdenotaalpie">
    <w:name w:val="footnote reference"/>
    <w:aliases w:val="referencia nota al pie,Texto de nota al pie,Ref,de nota al pie,Ref. de nota al pie2,Nota de pie,Texto nota al pie,normal,Ref. de nota al pieREF1,Footnote symbol,Footnote, de nota al pie,16 Point,Superscript 6 Point,stylish,BVI fnr"/>
    <w:basedOn w:val="Fuentedeprrafopredeter"/>
    <w:uiPriority w:val="99"/>
    <w:unhideWhenUsed/>
    <w:qFormat/>
    <w:rsid w:val="00AF7478"/>
    <w:rPr>
      <w:vertAlign w:val="superscript"/>
    </w:rPr>
  </w:style>
  <w:style w:type="paragraph" w:styleId="Textosinformato">
    <w:name w:val="Plain Text"/>
    <w:basedOn w:val="Normal"/>
    <w:link w:val="TextosinformatoCar"/>
    <w:uiPriority w:val="99"/>
    <w:unhideWhenUsed/>
    <w:rsid w:val="00AF7478"/>
    <w:rPr>
      <w:rFonts w:ascii="Consolas" w:hAnsi="Consolas"/>
      <w:sz w:val="21"/>
      <w:szCs w:val="21"/>
    </w:rPr>
  </w:style>
  <w:style w:type="character" w:styleId="TextosinformatoCar" w:customStyle="1">
    <w:name w:val="Texto sin formato Car"/>
    <w:basedOn w:val="Fuentedeprrafopredeter"/>
    <w:link w:val="Textosinformato"/>
    <w:uiPriority w:val="99"/>
    <w:rsid w:val="00AF7478"/>
    <w:rPr>
      <w:rFonts w:ascii="Consolas" w:hAnsi="Consolas" w:eastAsiaTheme="minorEastAsia"/>
      <w:kern w:val="0"/>
      <w:sz w:val="21"/>
      <w:szCs w:val="21"/>
      <w14:ligatures w14:val="none"/>
    </w:rPr>
  </w:style>
  <w:style w:type="paragraph" w:styleId="epgrafe" w:customStyle="1">
    <w:name w:val="epgrafe"/>
    <w:basedOn w:val="Normal"/>
    <w:rsid w:val="00AF7478"/>
    <w:pPr>
      <w:spacing w:before="100" w:beforeAutospacing="1" w:after="100" w:afterAutospacing="1"/>
    </w:pPr>
    <w:rPr>
      <w:rFonts w:eastAsia="Calibri"/>
      <w:lang w:val="es-ES" w:eastAsia="es-ES"/>
    </w:rPr>
  </w:style>
  <w:style w:type="character" w:styleId="Textoennegrita">
    <w:name w:val="Strong"/>
    <w:basedOn w:val="Fuentedeprrafopredeter"/>
    <w:uiPriority w:val="22"/>
    <w:qFormat/>
    <w:rsid w:val="00AF7478"/>
    <w:rPr>
      <w:b/>
      <w:bCs/>
    </w:rPr>
  </w:style>
  <w:style w:type="paragraph" w:styleId="Textoindependiente">
    <w:name w:val="Body Text"/>
    <w:basedOn w:val="Normal"/>
    <w:link w:val="TextoindependienteCar"/>
    <w:uiPriority w:val="1"/>
    <w:qFormat/>
    <w:rsid w:val="00AF7478"/>
    <w:pPr>
      <w:autoSpaceDE w:val="0"/>
      <w:autoSpaceDN w:val="0"/>
      <w:jc w:val="both"/>
    </w:pPr>
    <w:rPr>
      <w:lang w:val="es-ES" w:eastAsia="es-ES"/>
    </w:rPr>
  </w:style>
  <w:style w:type="character" w:styleId="TextoindependienteCar" w:customStyle="1">
    <w:name w:val="Texto independiente Car"/>
    <w:basedOn w:val="Fuentedeprrafopredeter"/>
    <w:link w:val="Textoindependiente"/>
    <w:uiPriority w:val="1"/>
    <w:rsid w:val="00AF7478"/>
    <w:rPr>
      <w:rFonts w:eastAsiaTheme="minorEastAsia"/>
      <w:kern w:val="0"/>
      <w:sz w:val="20"/>
      <w:szCs w:val="20"/>
      <w:lang w:val="es-ES" w:eastAsia="es-ES"/>
      <w14:ligatures w14:val="none"/>
    </w:rPr>
  </w:style>
  <w:style w:type="paragraph" w:styleId="Textoindependiente2">
    <w:name w:val="Body Text 2"/>
    <w:basedOn w:val="Normal"/>
    <w:link w:val="Textoindependiente2Car"/>
    <w:semiHidden/>
    <w:unhideWhenUsed/>
    <w:rsid w:val="00AF7478"/>
    <w:pPr>
      <w:spacing w:line="480" w:lineRule="auto"/>
    </w:pPr>
  </w:style>
  <w:style w:type="character" w:styleId="Textoindependiente2Car" w:customStyle="1">
    <w:name w:val="Texto independiente 2 Car"/>
    <w:basedOn w:val="Fuentedeprrafopredeter"/>
    <w:link w:val="Textoindependiente2"/>
    <w:semiHidden/>
    <w:rsid w:val="00AF7478"/>
    <w:rPr>
      <w:rFonts w:eastAsiaTheme="minorEastAsia"/>
      <w:kern w:val="0"/>
      <w:sz w:val="20"/>
      <w:szCs w:val="20"/>
      <w14:ligatures w14:val="none"/>
    </w:rPr>
  </w:style>
  <w:style w:type="character" w:styleId="PrrafodelistaCar" w:customStyle="1">
    <w:name w:val="Párrafo de lista Car"/>
    <w:aliases w:val="Cita textual Car,Lista vistosa - Énfasis 11 Car,Párrafo de tabla Car,Bolita Car,Segunda viñeta Car,Viñeta Car,Párrafo de lista2 Car,Párrafo de lista3 Car,Párrafo de lista21 Car,BOLA Car,HOJA Car,BOLADEF Car,Titulo 8 Car,Guión Car"/>
    <w:link w:val="Prrafodelista"/>
    <w:uiPriority w:val="34"/>
    <w:rsid w:val="00AF7478"/>
    <w:rPr>
      <w:lang w:val="en-US"/>
    </w:rPr>
  </w:style>
  <w:style w:type="paragraph" w:styleId="Default" w:customStyle="1">
    <w:name w:val="Default"/>
    <w:link w:val="DefaultCar"/>
    <w:rsid w:val="00AF7478"/>
    <w:pPr>
      <w:autoSpaceDE w:val="0"/>
      <w:autoSpaceDN w:val="0"/>
      <w:adjustRightInd w:val="0"/>
      <w:spacing w:after="0" w:line="240" w:lineRule="auto"/>
    </w:pPr>
    <w:rPr>
      <w:rFonts w:ascii="Arial" w:hAnsi="Arial" w:cs="Arial" w:eastAsiaTheme="minorEastAsia"/>
      <w:color w:val="000000"/>
      <w:kern w:val="0"/>
      <w:sz w:val="24"/>
      <w:szCs w:val="24"/>
      <w14:ligatures w14:val="none"/>
    </w:rPr>
  </w:style>
  <w:style w:type="character" w:styleId="nfasis">
    <w:name w:val="Emphasis"/>
    <w:basedOn w:val="Fuentedeprrafopredeter"/>
    <w:uiPriority w:val="20"/>
    <w:qFormat/>
    <w:rsid w:val="00AF7478"/>
    <w:rPr>
      <w:i/>
      <w:iCs/>
    </w:rPr>
  </w:style>
  <w:style w:type="character" w:styleId="apple-converted-space" w:customStyle="1">
    <w:name w:val="apple-converted-space"/>
    <w:basedOn w:val="Fuentedeprrafopredeter"/>
    <w:rsid w:val="00AF7478"/>
  </w:style>
  <w:style w:type="character" w:styleId="textexposedshow" w:customStyle="1">
    <w:name w:val="textexposedshow"/>
    <w:basedOn w:val="Fuentedeprrafopredeter"/>
    <w:rsid w:val="00AF7478"/>
  </w:style>
  <w:style w:type="paragraph" w:styleId="Bibliografa">
    <w:name w:val="Bibliography"/>
    <w:basedOn w:val="Normal"/>
    <w:next w:val="Normal"/>
    <w:uiPriority w:val="37"/>
    <w:unhideWhenUsed/>
    <w:rsid w:val="00AF7478"/>
  </w:style>
  <w:style w:type="paragraph" w:styleId="Tabladeilustraciones">
    <w:name w:val="table of figures"/>
    <w:basedOn w:val="Normal"/>
    <w:next w:val="Normal"/>
    <w:link w:val="TabladeilustracionesCar"/>
    <w:uiPriority w:val="99"/>
    <w:unhideWhenUsed/>
    <w:rsid w:val="0052768E"/>
    <w:pPr>
      <w:spacing w:after="0"/>
      <w:ind w:left="400" w:hanging="400"/>
    </w:pPr>
    <w:rPr>
      <w:b/>
      <w:bCs/>
    </w:rPr>
  </w:style>
  <w:style w:type="character" w:styleId="DescripcinCar" w:customStyle="1">
    <w:name w:val="Descripción Car"/>
    <w:aliases w:val="Anexo Car,A Car,artículos Car,Epígrafe Car1 Car,Epígrafe Car2 Car,Epígrafe Car3 Car,Epígrafe Car4 Car,Epígrafe Car5 Car,Epígrafe Car6 Car,Epígrafe Car7 Car,Epígrafe Car8 Car,Epígrafe Car9 Car,Epígrafe Car11 Car,Epígrafe Car21 Car"/>
    <w:basedOn w:val="Fuentedeprrafopredeter"/>
    <w:link w:val="Descripcin"/>
    <w:uiPriority w:val="35"/>
    <w:rsid w:val="00AF7478"/>
    <w:rPr>
      <w:rFonts w:eastAsiaTheme="minorEastAsia"/>
      <w:b/>
      <w:bCs/>
      <w:smallCaps/>
      <w:color w:val="595959" w:themeColor="text1" w:themeTint="A6"/>
      <w:spacing w:val="6"/>
      <w:kern w:val="0"/>
      <w:sz w:val="20"/>
      <w:szCs w:val="20"/>
      <w14:ligatures w14:val="none"/>
    </w:rPr>
  </w:style>
  <w:style w:type="character" w:styleId="DefaultCar" w:customStyle="1">
    <w:name w:val="Default Car"/>
    <w:link w:val="Default"/>
    <w:locked/>
    <w:rsid w:val="00AF7478"/>
    <w:rPr>
      <w:rFonts w:ascii="Arial" w:hAnsi="Arial" w:cs="Arial" w:eastAsiaTheme="minorEastAsia"/>
      <w:color w:val="000000"/>
      <w:kern w:val="0"/>
      <w:sz w:val="24"/>
      <w:szCs w:val="24"/>
      <w14:ligatures w14:val="none"/>
    </w:rPr>
  </w:style>
  <w:style w:type="paragraph" w:styleId="TtuloTDC">
    <w:name w:val="TOC Heading"/>
    <w:basedOn w:val="Ttulo1"/>
    <w:next w:val="Normal"/>
    <w:uiPriority w:val="39"/>
    <w:unhideWhenUsed/>
    <w:qFormat/>
    <w:rsid w:val="00AF7478"/>
    <w:pPr>
      <w:outlineLvl w:val="9"/>
    </w:pPr>
  </w:style>
  <w:style w:type="paragraph" w:styleId="TDC1">
    <w:name w:val="toc 1"/>
    <w:basedOn w:val="Normal"/>
    <w:next w:val="Normal"/>
    <w:autoRedefine/>
    <w:uiPriority w:val="39"/>
    <w:unhideWhenUsed/>
    <w:rsid w:val="00AF7478"/>
    <w:pPr>
      <w:spacing w:before="120"/>
    </w:pPr>
    <w:rPr>
      <w:b/>
      <w:bCs/>
      <w:caps/>
    </w:rPr>
  </w:style>
  <w:style w:type="paragraph" w:styleId="TDC2">
    <w:name w:val="toc 2"/>
    <w:basedOn w:val="Normal"/>
    <w:next w:val="Normal"/>
    <w:autoRedefine/>
    <w:uiPriority w:val="39"/>
    <w:unhideWhenUsed/>
    <w:rsid w:val="00AF7478"/>
    <w:pPr>
      <w:spacing w:after="0"/>
      <w:ind w:left="200"/>
    </w:pPr>
    <w:rPr>
      <w:smallCaps/>
    </w:rPr>
  </w:style>
  <w:style w:type="paragraph" w:styleId="TDC3">
    <w:name w:val="toc 3"/>
    <w:basedOn w:val="Normal"/>
    <w:next w:val="Normal"/>
    <w:autoRedefine/>
    <w:uiPriority w:val="39"/>
    <w:unhideWhenUsed/>
    <w:rsid w:val="00AF7478"/>
    <w:pPr>
      <w:spacing w:after="0"/>
      <w:ind w:left="400"/>
    </w:pPr>
    <w:rPr>
      <w:i/>
      <w:iCs/>
    </w:rPr>
  </w:style>
  <w:style w:type="paragraph" w:styleId="Listaconvietas">
    <w:name w:val="List Bullet"/>
    <w:basedOn w:val="Normal"/>
    <w:link w:val="ListaconvietasCar"/>
    <w:rsid w:val="00AF7478"/>
    <w:pPr>
      <w:numPr>
        <w:numId w:val="2"/>
      </w:numPr>
      <w:tabs>
        <w:tab w:val="clear" w:pos="5322"/>
        <w:tab w:val="num" w:pos="360"/>
      </w:tabs>
      <w:autoSpaceDE w:val="0"/>
      <w:autoSpaceDN w:val="0"/>
      <w:adjustRightInd w:val="0"/>
      <w:spacing w:before="360" w:after="240" w:line="360" w:lineRule="auto"/>
      <w:ind w:left="0" w:firstLine="0"/>
      <w:jc w:val="both"/>
    </w:pPr>
    <w:rPr>
      <w:rFonts w:ascii="Arial" w:hAnsi="Arial"/>
      <w:szCs w:val="23"/>
      <w:lang w:val="es-MX" w:eastAsia="es-ES"/>
    </w:rPr>
  </w:style>
  <w:style w:type="character" w:styleId="ListaconvietasCar" w:customStyle="1">
    <w:name w:val="Lista con viñetas Car"/>
    <w:basedOn w:val="Fuentedeprrafopredeter"/>
    <w:link w:val="Listaconvietas"/>
    <w:locked/>
    <w:rsid w:val="00AF7478"/>
    <w:rPr>
      <w:rFonts w:ascii="Arial" w:hAnsi="Arial" w:eastAsiaTheme="minorEastAsia"/>
      <w:kern w:val="0"/>
      <w:sz w:val="20"/>
      <w:szCs w:val="23"/>
      <w:lang w:val="es-MX" w:eastAsia="es-ES"/>
      <w14:ligatures w14:val="none"/>
    </w:rPr>
  </w:style>
  <w:style w:type="paragraph" w:styleId="Sencillo" w:customStyle="1">
    <w:name w:val="Sencillo"/>
    <w:basedOn w:val="Encabezado"/>
    <w:link w:val="SencilloCar"/>
    <w:rsid w:val="00AF7478"/>
    <w:pPr>
      <w:tabs>
        <w:tab w:val="clear" w:pos="4419"/>
        <w:tab w:val="clear" w:pos="8838"/>
        <w:tab w:val="left" w:pos="340"/>
        <w:tab w:val="center" w:pos="4252"/>
        <w:tab w:val="right" w:pos="8504"/>
      </w:tabs>
      <w:spacing w:after="120" w:line="264" w:lineRule="auto"/>
      <w:jc w:val="both"/>
    </w:pPr>
    <w:rPr>
      <w:rFonts w:ascii="Arial" w:hAnsi="Arial"/>
      <w:szCs w:val="23"/>
      <w:lang w:eastAsia="es-ES"/>
    </w:rPr>
  </w:style>
  <w:style w:type="character" w:styleId="SencilloCar" w:customStyle="1">
    <w:name w:val="Sencillo Car"/>
    <w:basedOn w:val="Fuentedeprrafopredeter"/>
    <w:link w:val="Sencillo"/>
    <w:locked/>
    <w:rsid w:val="00AF7478"/>
    <w:rPr>
      <w:rFonts w:ascii="Arial" w:hAnsi="Arial" w:eastAsiaTheme="minorEastAsia"/>
      <w:kern w:val="0"/>
      <w:sz w:val="20"/>
      <w:szCs w:val="23"/>
      <w:lang w:eastAsia="es-ES"/>
      <w14:ligatures w14:val="none"/>
    </w:rPr>
  </w:style>
  <w:style w:type="paragraph" w:styleId="Tabla0" w:customStyle="1">
    <w:name w:val="Tabla"/>
    <w:basedOn w:val="Encabezado"/>
    <w:qFormat/>
    <w:rsid w:val="00AF7478"/>
    <w:pPr>
      <w:keepNext/>
      <w:tabs>
        <w:tab w:val="clear" w:pos="4419"/>
        <w:tab w:val="clear" w:pos="8838"/>
        <w:tab w:val="left" w:pos="340"/>
        <w:tab w:val="center" w:pos="4252"/>
        <w:tab w:val="right" w:pos="8504"/>
      </w:tabs>
      <w:spacing w:before="360" w:after="360" w:line="264" w:lineRule="auto"/>
      <w:jc w:val="both"/>
    </w:pPr>
    <w:rPr>
      <w:rFonts w:ascii="Arial" w:hAnsi="Arial"/>
      <w:szCs w:val="23"/>
      <w:lang w:eastAsia="es-ES"/>
    </w:rPr>
  </w:style>
  <w:style w:type="paragraph" w:styleId="titulotablas" w:customStyle="1">
    <w:name w:val="titulo tablas"/>
    <w:basedOn w:val="Normal"/>
    <w:autoRedefine/>
    <w:rsid w:val="00AF7478"/>
    <w:rPr>
      <w:rFonts w:cstheme="minorHAnsi"/>
      <w:b/>
      <w:lang w:eastAsia="es-ES"/>
    </w:rPr>
  </w:style>
  <w:style w:type="paragraph" w:styleId="FIGURA" w:customStyle="1">
    <w:name w:val="FIGURA"/>
    <w:basedOn w:val="Prrafodelista"/>
    <w:next w:val="Normal"/>
    <w:link w:val="FIGURACar"/>
    <w:rsid w:val="00AF7478"/>
    <w:pPr>
      <w:numPr>
        <w:numId w:val="5"/>
      </w:numPr>
      <w:spacing w:before="240" w:after="0" w:line="240" w:lineRule="auto"/>
      <w:ind w:left="357" w:hanging="357"/>
      <w:contextualSpacing w:val="0"/>
      <w:jc w:val="center"/>
    </w:pPr>
  </w:style>
  <w:style w:type="character" w:styleId="FIGURACar" w:customStyle="1">
    <w:name w:val="FIGURA Car"/>
    <w:basedOn w:val="PrrafodelistaCar"/>
    <w:link w:val="FIGURA"/>
    <w:rsid w:val="00AF7478"/>
    <w:rPr>
      <w:rFonts w:eastAsiaTheme="minorEastAsia"/>
      <w:kern w:val="0"/>
      <w:sz w:val="20"/>
      <w:szCs w:val="20"/>
      <w:lang w:val="en-US"/>
      <w14:ligatures w14:val="none"/>
    </w:rPr>
  </w:style>
  <w:style w:type="paragraph" w:styleId="ListaTitulo6" w:customStyle="1">
    <w:name w:val="Lista (Titulo 6)"/>
    <w:basedOn w:val="Normal"/>
    <w:next w:val="Normal"/>
    <w:rsid w:val="00AF7478"/>
    <w:pPr>
      <w:numPr>
        <w:numId w:val="3"/>
      </w:numPr>
      <w:spacing w:before="240" w:after="60"/>
      <w:jc w:val="both"/>
    </w:pPr>
    <w:rPr>
      <w:rFonts w:ascii="Arial Narrow" w:hAnsi="Arial Narrow"/>
      <w:b/>
      <w:lang w:eastAsia="es-ES"/>
    </w:rPr>
  </w:style>
  <w:style w:type="paragraph" w:styleId="TABLA" w:customStyle="1">
    <w:name w:val="TABLA"/>
    <w:basedOn w:val="Prrafodelista"/>
    <w:next w:val="Normal"/>
    <w:link w:val="TABLACar"/>
    <w:autoRedefine/>
    <w:rsid w:val="00AF7478"/>
    <w:pPr>
      <w:numPr>
        <w:numId w:val="4"/>
      </w:numPr>
      <w:shd w:val="clear" w:color="auto" w:fill="FFFFFF"/>
      <w:tabs>
        <w:tab w:val="left" w:pos="993"/>
      </w:tabs>
      <w:spacing w:before="240" w:after="0" w:line="312" w:lineRule="auto"/>
      <w:ind w:left="357" w:right="227" w:hanging="357"/>
      <w:contextualSpacing w:val="0"/>
      <w:jc w:val="both"/>
    </w:pPr>
    <w:rPr>
      <w:rFonts w:eastAsia="Calibri" w:cs="Arial"/>
      <w:lang w:val="es-ES" w:eastAsia="es-ES"/>
    </w:rPr>
  </w:style>
  <w:style w:type="character" w:styleId="TABLACar" w:customStyle="1">
    <w:name w:val="TABLA Car"/>
    <w:basedOn w:val="PrrafodelistaCar"/>
    <w:link w:val="TABLA"/>
    <w:rsid w:val="00AF7478"/>
    <w:rPr>
      <w:rFonts w:eastAsia="Calibri" w:cs="Arial"/>
      <w:kern w:val="0"/>
      <w:sz w:val="20"/>
      <w:szCs w:val="20"/>
      <w:shd w:val="clear" w:color="auto" w:fill="FFFFFF"/>
      <w:lang w:val="es-ES" w:eastAsia="es-ES"/>
      <w14:ligatures w14:val="none"/>
    </w:rPr>
  </w:style>
  <w:style w:type="paragraph" w:styleId="Textonotaalfinal">
    <w:name w:val="endnote text"/>
    <w:basedOn w:val="Normal"/>
    <w:link w:val="TextonotaalfinalCar"/>
    <w:uiPriority w:val="99"/>
    <w:semiHidden/>
    <w:unhideWhenUsed/>
    <w:rsid w:val="00AF7478"/>
  </w:style>
  <w:style w:type="character" w:styleId="TextonotaalfinalCar" w:customStyle="1">
    <w:name w:val="Texto nota al final Car"/>
    <w:basedOn w:val="Fuentedeprrafopredeter"/>
    <w:link w:val="Textonotaalfinal"/>
    <w:uiPriority w:val="99"/>
    <w:semiHidden/>
    <w:rsid w:val="00AF7478"/>
    <w:rPr>
      <w:rFonts w:eastAsiaTheme="minorEastAsia"/>
      <w:kern w:val="0"/>
      <w:sz w:val="20"/>
      <w:szCs w:val="20"/>
      <w14:ligatures w14:val="none"/>
    </w:rPr>
  </w:style>
  <w:style w:type="character" w:styleId="Refdenotaalfinal">
    <w:name w:val="endnote reference"/>
    <w:basedOn w:val="Fuentedeprrafopredeter"/>
    <w:uiPriority w:val="99"/>
    <w:semiHidden/>
    <w:unhideWhenUsed/>
    <w:rsid w:val="00AF7478"/>
    <w:rPr>
      <w:vertAlign w:val="superscript"/>
    </w:rPr>
  </w:style>
  <w:style w:type="paragraph" w:styleId="Revisin">
    <w:name w:val="Revision"/>
    <w:hidden/>
    <w:uiPriority w:val="99"/>
    <w:semiHidden/>
    <w:rsid w:val="00AF7478"/>
    <w:pPr>
      <w:spacing w:after="0" w:line="240" w:lineRule="auto"/>
    </w:pPr>
    <w:rPr>
      <w:rFonts w:ascii="Times New Roman" w:hAnsi="Times New Roman" w:eastAsia="Times New Roman" w:cs="Times New Roman"/>
      <w:kern w:val="0"/>
      <w:sz w:val="24"/>
      <w:szCs w:val="24"/>
      <w:lang w:eastAsia="es-CO"/>
      <w14:ligatures w14:val="none"/>
    </w:rPr>
  </w:style>
  <w:style w:type="character" w:styleId="A5" w:customStyle="1">
    <w:name w:val="A5"/>
    <w:uiPriority w:val="99"/>
    <w:rsid w:val="00AF7478"/>
    <w:rPr>
      <w:rFonts w:cs="PNDKN T+ Myriad Pro"/>
      <w:color w:val="000000"/>
      <w:sz w:val="22"/>
      <w:szCs w:val="22"/>
    </w:rPr>
  </w:style>
  <w:style w:type="paragraph" w:styleId="Ttulo">
    <w:name w:val="Title"/>
    <w:basedOn w:val="Normal"/>
    <w:next w:val="Normal"/>
    <w:link w:val="TtuloCar"/>
    <w:uiPriority w:val="10"/>
    <w:qFormat/>
    <w:rsid w:val="00AF7478"/>
    <w:pPr>
      <w:spacing w:after="0" w:line="240" w:lineRule="auto"/>
      <w:contextualSpacing/>
    </w:pPr>
    <w:rPr>
      <w:rFonts w:asciiTheme="majorHAnsi" w:hAnsiTheme="majorHAnsi" w:eastAsiaTheme="majorEastAsia" w:cstheme="majorBidi"/>
      <w:color w:val="4472C4" w:themeColor="accent1"/>
      <w:spacing w:val="-10"/>
      <w:sz w:val="56"/>
      <w:szCs w:val="56"/>
    </w:rPr>
  </w:style>
  <w:style w:type="character" w:styleId="TtuloCar" w:customStyle="1">
    <w:name w:val="Título Car"/>
    <w:basedOn w:val="Fuentedeprrafopredeter"/>
    <w:link w:val="Ttulo"/>
    <w:uiPriority w:val="10"/>
    <w:rsid w:val="00AF7478"/>
    <w:rPr>
      <w:rFonts w:asciiTheme="majorHAnsi" w:hAnsiTheme="majorHAnsi" w:eastAsiaTheme="majorEastAsia" w:cstheme="majorBidi"/>
      <w:color w:val="4472C4" w:themeColor="accent1"/>
      <w:spacing w:val="-10"/>
      <w:kern w:val="0"/>
      <w:sz w:val="56"/>
      <w:szCs w:val="56"/>
      <w14:ligatures w14:val="none"/>
    </w:rPr>
  </w:style>
  <w:style w:type="paragraph" w:styleId="Subttulo">
    <w:name w:val="Subtitle"/>
    <w:basedOn w:val="Normal"/>
    <w:next w:val="Normal"/>
    <w:link w:val="SubttuloCar"/>
    <w:uiPriority w:val="11"/>
    <w:qFormat/>
    <w:rsid w:val="00AF7478"/>
    <w:pPr>
      <w:numPr>
        <w:ilvl w:val="1"/>
      </w:numPr>
      <w:spacing w:line="240" w:lineRule="auto"/>
    </w:pPr>
    <w:rPr>
      <w:rFonts w:asciiTheme="majorHAnsi" w:hAnsiTheme="majorHAnsi" w:eastAsiaTheme="majorEastAsia" w:cstheme="majorBidi"/>
      <w:sz w:val="24"/>
      <w:szCs w:val="24"/>
    </w:rPr>
  </w:style>
  <w:style w:type="character" w:styleId="SubttuloCar" w:customStyle="1">
    <w:name w:val="Subtítulo Car"/>
    <w:basedOn w:val="Fuentedeprrafopredeter"/>
    <w:link w:val="Subttulo"/>
    <w:uiPriority w:val="11"/>
    <w:rsid w:val="00AF7478"/>
    <w:rPr>
      <w:rFonts w:asciiTheme="majorHAnsi" w:hAnsiTheme="majorHAnsi" w:eastAsiaTheme="majorEastAsia" w:cstheme="majorBidi"/>
      <w:kern w:val="0"/>
      <w:sz w:val="24"/>
      <w:szCs w:val="24"/>
      <w14:ligatures w14:val="none"/>
    </w:rPr>
  </w:style>
  <w:style w:type="paragraph" w:styleId="Sinespaciado">
    <w:name w:val="No Spacing"/>
    <w:aliases w:val="CHULITO,Chulito,Sin espaciado1,raya,Fotografía 10-1,nada,CHULO,VERIFI,MIBEX C,MIBEX TEXTO,Viñeta1,011212 5Diamatico Nafta,Sin espaciado11"/>
    <w:link w:val="SinespaciadoCar"/>
    <w:uiPriority w:val="1"/>
    <w:qFormat/>
    <w:rsid w:val="00AF7478"/>
    <w:pPr>
      <w:spacing w:after="0" w:line="240" w:lineRule="auto"/>
    </w:pPr>
    <w:rPr>
      <w:rFonts w:eastAsiaTheme="minorEastAsia"/>
      <w:kern w:val="0"/>
      <w:sz w:val="20"/>
      <w:szCs w:val="20"/>
      <w14:ligatures w14:val="none"/>
    </w:rPr>
  </w:style>
  <w:style w:type="paragraph" w:styleId="Cita">
    <w:name w:val="Quote"/>
    <w:basedOn w:val="Normal"/>
    <w:next w:val="Normal"/>
    <w:link w:val="CitaCar"/>
    <w:uiPriority w:val="29"/>
    <w:qFormat/>
    <w:rsid w:val="00AF7478"/>
    <w:pPr>
      <w:spacing w:before="160"/>
      <w:ind w:left="720" w:right="720"/>
    </w:pPr>
    <w:rPr>
      <w:i/>
      <w:iCs/>
      <w:color w:val="404040" w:themeColor="text1" w:themeTint="BF"/>
    </w:rPr>
  </w:style>
  <w:style w:type="character" w:styleId="CitaCar" w:customStyle="1">
    <w:name w:val="Cita Car"/>
    <w:basedOn w:val="Fuentedeprrafopredeter"/>
    <w:link w:val="Cita"/>
    <w:uiPriority w:val="29"/>
    <w:rsid w:val="00AF7478"/>
    <w:rPr>
      <w:rFonts w:eastAsiaTheme="minorEastAsia"/>
      <w:i/>
      <w:iCs/>
      <w:color w:val="404040" w:themeColor="text1" w:themeTint="BF"/>
      <w:kern w:val="0"/>
      <w:sz w:val="20"/>
      <w:szCs w:val="20"/>
      <w14:ligatures w14:val="none"/>
    </w:rPr>
  </w:style>
  <w:style w:type="paragraph" w:styleId="Citadestacada">
    <w:name w:val="Intense Quote"/>
    <w:basedOn w:val="Normal"/>
    <w:next w:val="Normal"/>
    <w:link w:val="CitadestacadaCar"/>
    <w:uiPriority w:val="30"/>
    <w:qFormat/>
    <w:rsid w:val="00AF7478"/>
    <w:pPr>
      <w:pBdr>
        <w:left w:val="single" w:color="4472C4" w:themeColor="accent1" w:sz="18" w:space="12"/>
      </w:pBdr>
      <w:spacing w:before="100" w:beforeAutospacing="1" w:line="300" w:lineRule="auto"/>
      <w:ind w:left="1224" w:right="1224"/>
    </w:pPr>
    <w:rPr>
      <w:rFonts w:asciiTheme="majorHAnsi" w:hAnsiTheme="majorHAnsi" w:eastAsiaTheme="majorEastAsia" w:cstheme="majorBidi"/>
      <w:color w:val="4472C4" w:themeColor="accent1"/>
      <w:sz w:val="28"/>
      <w:szCs w:val="28"/>
    </w:rPr>
  </w:style>
  <w:style w:type="character" w:styleId="CitadestacadaCar" w:customStyle="1">
    <w:name w:val="Cita destacada Car"/>
    <w:basedOn w:val="Fuentedeprrafopredeter"/>
    <w:link w:val="Citadestacada"/>
    <w:uiPriority w:val="30"/>
    <w:rsid w:val="00AF7478"/>
    <w:rPr>
      <w:rFonts w:asciiTheme="majorHAnsi" w:hAnsiTheme="majorHAnsi" w:eastAsiaTheme="majorEastAsia" w:cstheme="majorBidi"/>
      <w:color w:val="4472C4" w:themeColor="accent1"/>
      <w:kern w:val="0"/>
      <w:sz w:val="28"/>
      <w:szCs w:val="28"/>
      <w14:ligatures w14:val="none"/>
    </w:rPr>
  </w:style>
  <w:style w:type="character" w:styleId="nfasissutil">
    <w:name w:val="Subtle Emphasis"/>
    <w:basedOn w:val="Fuentedeprrafopredeter"/>
    <w:uiPriority w:val="19"/>
    <w:qFormat/>
    <w:rsid w:val="00AF7478"/>
    <w:rPr>
      <w:i/>
      <w:iCs/>
      <w:color w:val="404040" w:themeColor="text1" w:themeTint="BF"/>
    </w:rPr>
  </w:style>
  <w:style w:type="character" w:styleId="nfasisintenso">
    <w:name w:val="Intense Emphasis"/>
    <w:basedOn w:val="Fuentedeprrafopredeter"/>
    <w:uiPriority w:val="21"/>
    <w:qFormat/>
    <w:rsid w:val="00AF7478"/>
    <w:rPr>
      <w:b/>
      <w:bCs/>
      <w:i/>
      <w:iCs/>
    </w:rPr>
  </w:style>
  <w:style w:type="character" w:styleId="Referenciasutil">
    <w:name w:val="Subtle Reference"/>
    <w:aliases w:val="ReferenciaS"/>
    <w:basedOn w:val="Fuentedeprrafopredeter"/>
    <w:uiPriority w:val="1"/>
    <w:qFormat/>
    <w:rsid w:val="00AF7478"/>
    <w:rPr>
      <w:smallCaps/>
      <w:color w:val="404040" w:themeColor="text1" w:themeTint="BF"/>
      <w:u w:val="single" w:color="7F7F7F" w:themeColor="text1" w:themeTint="80"/>
    </w:rPr>
  </w:style>
  <w:style w:type="character" w:styleId="Referenciaintensa">
    <w:name w:val="Intense Reference"/>
    <w:basedOn w:val="Fuentedeprrafopredeter"/>
    <w:uiPriority w:val="32"/>
    <w:qFormat/>
    <w:rsid w:val="00AF7478"/>
    <w:rPr>
      <w:b/>
      <w:bCs/>
      <w:smallCaps/>
      <w:spacing w:val="5"/>
      <w:u w:val="single"/>
    </w:rPr>
  </w:style>
  <w:style w:type="character" w:styleId="Ttulodellibro">
    <w:name w:val="Book Title"/>
    <w:basedOn w:val="Fuentedeprrafopredeter"/>
    <w:uiPriority w:val="33"/>
    <w:qFormat/>
    <w:rsid w:val="00AF7478"/>
    <w:rPr>
      <w:b/>
      <w:bCs/>
      <w:smallCaps/>
    </w:rPr>
  </w:style>
  <w:style w:type="character" w:styleId="SinespaciadoCar" w:customStyle="1">
    <w:name w:val="Sin espaciado Car"/>
    <w:aliases w:val="CHULITO Car,Chulito Car,Sin espaciado1 Car,raya Car,Fotografía 10-1 Car,nada Car,CHULO Car,VERIFI Car,MIBEX C Car,MIBEX TEXTO Car,Viñeta1 Car,011212 5Diamatico Nafta Car,Sin espaciado11 Car"/>
    <w:basedOn w:val="Fuentedeprrafopredeter"/>
    <w:link w:val="Sinespaciado"/>
    <w:uiPriority w:val="1"/>
    <w:rsid w:val="00AF7478"/>
    <w:rPr>
      <w:rFonts w:eastAsiaTheme="minorEastAsia"/>
      <w:kern w:val="0"/>
      <w:sz w:val="20"/>
      <w:szCs w:val="20"/>
      <w14:ligatures w14:val="none"/>
    </w:rPr>
  </w:style>
  <w:style w:type="paragraph" w:styleId="00TEXTO" w:customStyle="1">
    <w:name w:val="00_TEXTO"/>
    <w:basedOn w:val="Normal"/>
    <w:link w:val="00TEXTOCar"/>
    <w:qFormat/>
    <w:rsid w:val="00AF7478"/>
    <w:pPr>
      <w:spacing w:after="0" w:line="276" w:lineRule="auto"/>
      <w:jc w:val="both"/>
    </w:pPr>
    <w:rPr>
      <w:rFonts w:ascii="Arial" w:hAnsi="Arial" w:eastAsia="Calibri" w:cs="Times New Roman"/>
      <w:sz w:val="22"/>
      <w:szCs w:val="22"/>
    </w:rPr>
  </w:style>
  <w:style w:type="character" w:styleId="00TEXTOCar" w:customStyle="1">
    <w:name w:val="00_TEXTO Car"/>
    <w:link w:val="00TEXTO"/>
    <w:rsid w:val="00AF7478"/>
    <w:rPr>
      <w:rFonts w:ascii="Arial" w:hAnsi="Arial" w:eastAsia="Calibri" w:cs="Times New Roman"/>
      <w:kern w:val="0"/>
      <w14:ligatures w14:val="none"/>
    </w:rPr>
  </w:style>
  <w:style w:type="paragraph" w:styleId="00FUENTE" w:customStyle="1">
    <w:name w:val="00_FUENTE"/>
    <w:basedOn w:val="Normal"/>
    <w:link w:val="00FUENTECar"/>
    <w:qFormat/>
    <w:rsid w:val="00AF7478"/>
    <w:pPr>
      <w:spacing w:after="0" w:line="276" w:lineRule="auto"/>
      <w:ind w:left="60"/>
      <w:jc w:val="center"/>
    </w:pPr>
    <w:rPr>
      <w:rFonts w:ascii="Arial" w:hAnsi="Arial" w:eastAsia="Calibri" w:cs="Times New Roman"/>
      <w:sz w:val="18"/>
      <w:szCs w:val="22"/>
    </w:rPr>
  </w:style>
  <w:style w:type="character" w:styleId="00FUENTECar" w:customStyle="1">
    <w:name w:val="00_FUENTE Car"/>
    <w:link w:val="00FUENTE"/>
    <w:rsid w:val="00AF7478"/>
    <w:rPr>
      <w:rFonts w:ascii="Arial" w:hAnsi="Arial" w:eastAsia="Calibri" w:cs="Times New Roman"/>
      <w:kern w:val="0"/>
      <w:sz w:val="18"/>
      <w14:ligatures w14:val="none"/>
    </w:rPr>
  </w:style>
  <w:style w:type="paragraph" w:styleId="00FIGURAS" w:customStyle="1">
    <w:name w:val="00_FIGURAS"/>
    <w:basedOn w:val="Normal"/>
    <w:link w:val="00FIGURASCar"/>
    <w:qFormat/>
    <w:rsid w:val="00AF7478"/>
    <w:pPr>
      <w:spacing w:after="0" w:line="259" w:lineRule="auto"/>
      <w:jc w:val="center"/>
    </w:pPr>
    <w:rPr>
      <w:rFonts w:ascii="Arial" w:hAnsi="Arial" w:eastAsia="Calibri" w:cs="Times New Roman"/>
      <w:b/>
      <w:szCs w:val="22"/>
    </w:rPr>
  </w:style>
  <w:style w:type="character" w:styleId="00FIGURASCar" w:customStyle="1">
    <w:name w:val="00_FIGURAS Car"/>
    <w:link w:val="00FIGURAS"/>
    <w:rsid w:val="00AF7478"/>
    <w:rPr>
      <w:rFonts w:ascii="Arial" w:hAnsi="Arial" w:eastAsia="Calibri" w:cs="Times New Roman"/>
      <w:b/>
      <w:kern w:val="0"/>
      <w:sz w:val="20"/>
      <w14:ligatures w14:val="none"/>
    </w:rPr>
  </w:style>
  <w:style w:type="paragraph" w:styleId="00TABLA" w:customStyle="1">
    <w:name w:val="00_TABLA"/>
    <w:basedOn w:val="00FIGURAS"/>
    <w:link w:val="00TABLACar"/>
    <w:qFormat/>
    <w:rsid w:val="00AF7478"/>
  </w:style>
  <w:style w:type="character" w:styleId="00TABLACar" w:customStyle="1">
    <w:name w:val="00_TABLA Car"/>
    <w:link w:val="00TABLA"/>
    <w:rsid w:val="00AF7478"/>
    <w:rPr>
      <w:rFonts w:ascii="Arial" w:hAnsi="Arial" w:eastAsia="Calibri" w:cs="Times New Roman"/>
      <w:b/>
      <w:kern w:val="0"/>
      <w:sz w:val="20"/>
      <w14:ligatures w14:val="none"/>
    </w:rPr>
  </w:style>
  <w:style w:type="paragraph" w:styleId="00BIETA" w:customStyle="1">
    <w:name w:val="00_BIÑETA"/>
    <w:basedOn w:val="Prrafodelista"/>
    <w:link w:val="00BIETACar"/>
    <w:qFormat/>
    <w:rsid w:val="00AF7478"/>
    <w:pPr>
      <w:numPr>
        <w:numId w:val="6"/>
      </w:numPr>
      <w:tabs>
        <w:tab w:val="left" w:pos="284"/>
      </w:tabs>
      <w:spacing w:after="0" w:line="276" w:lineRule="auto"/>
      <w:ind w:left="0" w:firstLine="0"/>
    </w:pPr>
    <w:rPr>
      <w:rFonts w:ascii="Arial" w:hAnsi="Arial" w:eastAsia="Calibri" w:cs="Times New Roman"/>
      <w:b/>
      <w:lang w:eastAsia="x-none"/>
    </w:rPr>
  </w:style>
  <w:style w:type="character" w:styleId="00BIETACar" w:customStyle="1">
    <w:name w:val="00_BIÑETA Car"/>
    <w:link w:val="00BIETA"/>
    <w:rsid w:val="00AF7478"/>
    <w:rPr>
      <w:rFonts w:ascii="Arial" w:hAnsi="Arial" w:eastAsia="Calibri" w:cs="Times New Roman"/>
      <w:b/>
      <w:kern w:val="0"/>
      <w:sz w:val="20"/>
      <w:szCs w:val="20"/>
      <w:lang w:eastAsia="x-none"/>
      <w14:ligatures w14:val="none"/>
    </w:rPr>
  </w:style>
  <w:style w:type="paragraph" w:styleId="00FOTO" w:customStyle="1">
    <w:name w:val="00_FOTO"/>
    <w:basedOn w:val="Descripcin"/>
    <w:link w:val="00FOTOCar"/>
    <w:qFormat/>
    <w:rsid w:val="00AF7478"/>
    <w:pPr>
      <w:spacing w:after="0" w:line="276" w:lineRule="auto"/>
      <w:jc w:val="center"/>
    </w:pPr>
    <w:rPr>
      <w:rFonts w:ascii="Arial" w:hAnsi="Arial" w:eastAsia="MS Mincho" w:cs="Times New Roman"/>
      <w:bCs w:val="0"/>
      <w:smallCaps w:val="0"/>
      <w:color w:val="595959"/>
      <w:spacing w:val="0"/>
      <w:sz w:val="21"/>
      <w:szCs w:val="21"/>
      <w:lang w:val="x-none" w:eastAsia="es-CO"/>
    </w:rPr>
  </w:style>
  <w:style w:type="character" w:styleId="00FOTOCar" w:customStyle="1">
    <w:name w:val="00_FOTO Car"/>
    <w:link w:val="00FOTO"/>
    <w:rsid w:val="00AF7478"/>
    <w:rPr>
      <w:rFonts w:ascii="Arial" w:hAnsi="Arial" w:eastAsia="MS Mincho" w:cs="Times New Roman"/>
      <w:b/>
      <w:color w:val="595959"/>
      <w:kern w:val="0"/>
      <w:sz w:val="21"/>
      <w:szCs w:val="21"/>
      <w:lang w:val="x-none" w:eastAsia="es-CO"/>
      <w14:ligatures w14:val="none"/>
    </w:rPr>
  </w:style>
  <w:style w:type="paragraph" w:styleId="Estilo2" w:customStyle="1">
    <w:name w:val="Estilo2"/>
    <w:basedOn w:val="Normal"/>
    <w:autoRedefine/>
    <w:rsid w:val="00AF7478"/>
    <w:pPr>
      <w:spacing w:after="0" w:line="240" w:lineRule="auto"/>
      <w:ind w:right="99"/>
      <w:jc w:val="both"/>
    </w:pPr>
    <w:rPr>
      <w:rFonts w:ascii="Arial Narrow" w:hAnsi="Arial Narrow" w:eastAsia="Times New Roman" w:cs="Arial"/>
      <w:bCs/>
      <w:sz w:val="18"/>
      <w:szCs w:val="18"/>
      <w:lang w:val="es-ES" w:eastAsia="es-MX"/>
    </w:rPr>
  </w:style>
  <w:style w:type="paragraph" w:styleId="00BIETALNEA" w:customStyle="1">
    <w:name w:val="00_BIÑETA_LÍNEA"/>
    <w:basedOn w:val="Prrafodelista"/>
    <w:link w:val="00BIETALNEACar"/>
    <w:qFormat/>
    <w:rsid w:val="00AF7478"/>
    <w:pPr>
      <w:numPr>
        <w:numId w:val="7"/>
      </w:numPr>
      <w:spacing w:line="276" w:lineRule="auto"/>
      <w:jc w:val="both"/>
    </w:pPr>
    <w:rPr>
      <w:rFonts w:ascii="Arial" w:hAnsi="Arial" w:eastAsia="Calibri" w:cs="Times New Roman"/>
      <w:lang w:val="es-ES_tradnl" w:eastAsia="x-none"/>
    </w:rPr>
  </w:style>
  <w:style w:type="character" w:styleId="00BIETALNEACar" w:customStyle="1">
    <w:name w:val="00_BIÑETA_LÍNEA Car"/>
    <w:link w:val="00BIETALNEA"/>
    <w:rsid w:val="00AF7478"/>
    <w:rPr>
      <w:rFonts w:ascii="Arial" w:hAnsi="Arial" w:eastAsia="Calibri" w:cs="Times New Roman"/>
      <w:kern w:val="0"/>
      <w:sz w:val="20"/>
      <w:szCs w:val="20"/>
      <w:lang w:val="es-ES_tradnl" w:eastAsia="x-none"/>
      <w14:ligatures w14:val="none"/>
    </w:rPr>
  </w:style>
  <w:style w:type="numbering" w:styleId="Sinlista2" w:customStyle="1">
    <w:name w:val="Sin lista2"/>
    <w:next w:val="Sinlista"/>
    <w:uiPriority w:val="99"/>
    <w:semiHidden/>
    <w:unhideWhenUsed/>
    <w:rsid w:val="00AF7478"/>
  </w:style>
  <w:style w:type="paragraph" w:styleId="00TITULO05" w:customStyle="1">
    <w:name w:val="00_TITULO05"/>
    <w:basedOn w:val="Ttulo5"/>
    <w:link w:val="00TITULO05Car"/>
    <w:qFormat/>
    <w:rsid w:val="00AF7478"/>
    <w:pPr>
      <w:numPr>
        <w:ilvl w:val="4"/>
      </w:numPr>
      <w:spacing w:line="288" w:lineRule="auto"/>
      <w:ind w:left="1008" w:hanging="1008"/>
    </w:pPr>
    <w:rPr>
      <w:rFonts w:ascii="Calibri Light" w:hAnsi="Calibri Light" w:eastAsia="MS Gothic" w:cs="Times New Roman"/>
      <w:i/>
      <w:iCs/>
      <w:sz w:val="24"/>
      <w:lang w:eastAsia="es-CO"/>
    </w:rPr>
  </w:style>
  <w:style w:type="character" w:styleId="00TITULO05Car" w:customStyle="1">
    <w:name w:val="00_TITULO05 Car"/>
    <w:basedOn w:val="Ttulo5Car"/>
    <w:link w:val="00TITULO05"/>
    <w:rsid w:val="00AF7478"/>
    <w:rPr>
      <w:rFonts w:ascii="Calibri Light" w:hAnsi="Calibri Light" w:eastAsia="MS Gothic" w:cs="Times New Roman"/>
      <w:i/>
      <w:iCs/>
      <w:color w:val="44546A" w:themeColor="text2"/>
      <w:kern w:val="0"/>
      <w:sz w:val="24"/>
      <w:lang w:eastAsia="es-CO"/>
      <w14:ligatures w14:val="none"/>
    </w:rPr>
  </w:style>
  <w:style w:type="table" w:styleId="Sombreadomedio1-nfasis4">
    <w:name w:val="Medium Shading 1 Accent 4"/>
    <w:basedOn w:val="Tablanormal"/>
    <w:uiPriority w:val="63"/>
    <w:rsid w:val="00AF7478"/>
    <w:pPr>
      <w:spacing w:after="0" w:line="240" w:lineRule="auto"/>
    </w:pPr>
    <w:rPr>
      <w:rFonts w:ascii="Calibri" w:hAnsi="Calibri" w:eastAsia="Calibri" w:cs="Times New Roman"/>
      <w:kern w:val="0"/>
      <w:sz w:val="20"/>
      <w:szCs w:val="20"/>
      <w:lang w:eastAsia="es-CO"/>
      <w14:ligatures w14:val="none"/>
    </w:rPr>
    <w:tblPr>
      <w:tblStyleRowBandSize w:val="1"/>
      <w:tblStyleColBandSize w:val="1"/>
      <w:tblBorders>
        <w:top w:val="single" w:color="9F8AB9" w:sz="8" w:space="0"/>
        <w:left w:val="single" w:color="9F8AB9" w:sz="8" w:space="0"/>
        <w:bottom w:val="single" w:color="9F8AB9" w:sz="8" w:space="0"/>
        <w:right w:val="single" w:color="9F8AB9" w:sz="8" w:space="0"/>
        <w:insideH w:val="single" w:color="9F8AB9" w:sz="8" w:space="0"/>
      </w:tblBorders>
    </w:tblPr>
    <w:tblStylePr w:type="firstRow">
      <w:pPr>
        <w:spacing w:before="0" w:after="0" w:line="240" w:lineRule="auto"/>
      </w:pPr>
      <w:rPr>
        <w:b/>
        <w:bCs/>
        <w:color w:val="FFFFFF"/>
      </w:rPr>
      <w:tblPr/>
      <w:tcPr>
        <w:tcBorders>
          <w:top w:val="single" w:color="9F8AB9" w:sz="8" w:space="0"/>
          <w:left w:val="single" w:color="9F8AB9" w:sz="8" w:space="0"/>
          <w:bottom w:val="single" w:color="9F8AB9" w:sz="8" w:space="0"/>
          <w:right w:val="single" w:color="9F8AB9" w:sz="8" w:space="0"/>
          <w:insideH w:val="nil"/>
          <w:insideV w:val="nil"/>
        </w:tcBorders>
        <w:shd w:val="clear" w:color="auto" w:fill="8064A2"/>
      </w:tcPr>
    </w:tblStylePr>
    <w:tblStylePr w:type="lastRow">
      <w:pPr>
        <w:spacing w:before="0" w:after="0" w:line="240" w:lineRule="auto"/>
      </w:pPr>
      <w:rPr>
        <w:b/>
        <w:bCs/>
      </w:rPr>
      <w:tblPr/>
      <w:tcPr>
        <w:tcBorders>
          <w:top w:val="double" w:color="9F8AB9" w:sz="6" w:space="0"/>
          <w:left w:val="single" w:color="9F8AB9" w:sz="8" w:space="0"/>
          <w:bottom w:val="single" w:color="9F8AB9" w:sz="8" w:space="0"/>
          <w:right w:val="single" w:color="9F8AB9" w:sz="8" w:space="0"/>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Cuadrculaclara-nfasis3">
    <w:name w:val="Light Grid Accent 3"/>
    <w:basedOn w:val="Tablanormal"/>
    <w:uiPriority w:val="62"/>
    <w:rsid w:val="00AF7478"/>
    <w:pPr>
      <w:spacing w:after="0" w:line="240" w:lineRule="auto"/>
    </w:pPr>
    <w:rPr>
      <w:rFonts w:ascii="Calibri" w:hAnsi="Calibri" w:eastAsia="Calibri" w:cs="Times New Roman"/>
      <w:kern w:val="0"/>
      <w:sz w:val="20"/>
      <w:szCs w:val="20"/>
      <w:lang w:eastAsia="es-CO"/>
      <w14:ligatures w14:val="none"/>
    </w:rPr>
    <w:tblPr>
      <w:tblStyleRowBandSize w:val="1"/>
      <w:tblStyleColBandSize w:val="1"/>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tblPr>
    <w:tblStylePr w:type="firstRow">
      <w:pPr>
        <w:spacing w:before="0" w:after="0" w:line="240" w:lineRule="auto"/>
      </w:pPr>
      <w:rPr>
        <w:rFonts w:ascii="Arial Narrow" w:hAnsi="Arial Narrow" w:eastAsia="Times New Roman" w:cs="Times New Roman"/>
        <w:b/>
        <w:bCs/>
      </w:rPr>
      <w:tblPr/>
      <w:tcPr>
        <w:tcBorders>
          <w:top w:val="single" w:color="9BBB59" w:sz="8" w:space="0"/>
          <w:left w:val="single" w:color="9BBB59" w:sz="8" w:space="0"/>
          <w:bottom w:val="single" w:color="9BBB59" w:sz="18" w:space="0"/>
          <w:right w:val="single" w:color="9BBB59" w:sz="8" w:space="0"/>
          <w:insideH w:val="nil"/>
          <w:insideV w:val="single" w:color="9BBB59" w:sz="8" w:space="0"/>
        </w:tcBorders>
      </w:tcPr>
    </w:tblStylePr>
    <w:tblStylePr w:type="lastRow">
      <w:pPr>
        <w:spacing w:before="0" w:after="0" w:line="240" w:lineRule="auto"/>
      </w:pPr>
      <w:rPr>
        <w:rFonts w:ascii="Arial Narrow" w:hAnsi="Arial Narrow" w:eastAsia="Times New Roman" w:cs="Times New Roman"/>
        <w:b/>
        <w:bCs/>
      </w:rPr>
      <w:tblPr/>
      <w:tcPr>
        <w:tcBorders>
          <w:top w:val="double" w:color="9BBB59" w:sz="6" w:space="0"/>
          <w:left w:val="single" w:color="9BBB59" w:sz="8" w:space="0"/>
          <w:bottom w:val="single" w:color="9BBB59" w:sz="8" w:space="0"/>
          <w:right w:val="single" w:color="9BBB59" w:sz="8" w:space="0"/>
          <w:insideH w:val="nil"/>
          <w:insideV w:val="single" w:color="9BBB59" w:sz="8" w:space="0"/>
        </w:tcBorders>
      </w:tcPr>
    </w:tblStylePr>
    <w:tblStylePr w:type="firstCol">
      <w:rPr>
        <w:rFonts w:ascii="Arial Narrow" w:hAnsi="Arial Narrow" w:eastAsia="Times New Roman" w:cs="Times New Roman"/>
        <w:b/>
        <w:bCs/>
      </w:rPr>
    </w:tblStylePr>
    <w:tblStylePr w:type="lastCol">
      <w:rPr>
        <w:rFonts w:ascii="Arial Narrow" w:hAnsi="Arial Narrow" w:eastAsia="Times New Roman" w:cs="Times New Roman"/>
        <w:b/>
        <w:bCs/>
      </w:rPr>
      <w:tblPr/>
      <w:tcPr>
        <w:tcBorders>
          <w:top w:val="single" w:color="9BBB59" w:sz="8" w:space="0"/>
          <w:left w:val="single" w:color="9BBB59" w:sz="8" w:space="0"/>
          <w:bottom w:val="single" w:color="9BBB59" w:sz="8" w:space="0"/>
          <w:right w:val="single" w:color="9BBB59" w:sz="8" w:space="0"/>
        </w:tcBorders>
      </w:tcPr>
    </w:tblStylePr>
    <w:tblStylePr w:type="band1Vert">
      <w:tblPr/>
      <w:tcPr>
        <w:tcBorders>
          <w:top w:val="single" w:color="9BBB59" w:sz="8" w:space="0"/>
          <w:left w:val="single" w:color="9BBB59" w:sz="8" w:space="0"/>
          <w:bottom w:val="single" w:color="9BBB59" w:sz="8" w:space="0"/>
          <w:right w:val="single" w:color="9BBB59" w:sz="8" w:space="0"/>
        </w:tcBorders>
        <w:shd w:val="clear" w:color="auto" w:fill="E6EED5"/>
      </w:tcPr>
    </w:tblStylePr>
    <w:tblStylePr w:type="band1Horz">
      <w:tblPr/>
      <w:tcPr>
        <w:tcBorders>
          <w:top w:val="single" w:color="9BBB59" w:sz="8" w:space="0"/>
          <w:left w:val="single" w:color="9BBB59" w:sz="8" w:space="0"/>
          <w:bottom w:val="single" w:color="9BBB59" w:sz="8" w:space="0"/>
          <w:right w:val="single" w:color="9BBB59" w:sz="8" w:space="0"/>
          <w:insideV w:val="single" w:color="9BBB59" w:sz="8" w:space="0"/>
        </w:tcBorders>
        <w:shd w:val="clear" w:color="auto" w:fill="E6EED5"/>
      </w:tcPr>
    </w:tblStylePr>
    <w:tblStylePr w:type="band2Horz">
      <w:tblPr/>
      <w:tcPr>
        <w:tcBorders>
          <w:top w:val="single" w:color="9BBB59" w:sz="8" w:space="0"/>
          <w:left w:val="single" w:color="9BBB59" w:sz="8" w:space="0"/>
          <w:bottom w:val="single" w:color="9BBB59" w:sz="8" w:space="0"/>
          <w:right w:val="single" w:color="9BBB59" w:sz="8" w:space="0"/>
          <w:insideV w:val="single" w:color="9BBB59" w:sz="8" w:space="0"/>
        </w:tcBorders>
      </w:tcPr>
    </w:tblStylePr>
  </w:style>
  <w:style w:type="character" w:styleId="Hipervnculovisitado">
    <w:name w:val="FollowedHyperlink"/>
    <w:uiPriority w:val="99"/>
    <w:unhideWhenUsed/>
    <w:rsid w:val="00AF7478"/>
    <w:rPr>
      <w:color w:val="800080"/>
      <w:u w:val="single"/>
    </w:rPr>
  </w:style>
  <w:style w:type="paragraph" w:styleId="Estilo" w:customStyle="1">
    <w:name w:val="Estilo"/>
    <w:rsid w:val="00AF7478"/>
    <w:pPr>
      <w:widowControl w:val="0"/>
      <w:autoSpaceDE w:val="0"/>
      <w:autoSpaceDN w:val="0"/>
      <w:adjustRightInd w:val="0"/>
      <w:spacing w:after="0" w:line="240" w:lineRule="auto"/>
    </w:pPr>
    <w:rPr>
      <w:rFonts w:ascii="Arial" w:hAnsi="Arial" w:eastAsia="Calibri" w:cs="Arial"/>
      <w:kern w:val="0"/>
      <w:sz w:val="24"/>
      <w:szCs w:val="24"/>
      <w:lang w:val="es-ES" w:eastAsia="es-ES"/>
      <w14:ligatures w14:val="none"/>
    </w:rPr>
  </w:style>
  <w:style w:type="paragraph" w:styleId="xl66" w:customStyle="1">
    <w:name w:val="xl66"/>
    <w:basedOn w:val="Normal"/>
    <w:rsid w:val="00AF7478"/>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cs="Times New Roman"/>
      <w:b/>
      <w:bCs/>
      <w:sz w:val="24"/>
      <w:szCs w:val="24"/>
      <w:lang w:val="es-ES" w:eastAsia="es-ES"/>
    </w:rPr>
  </w:style>
  <w:style w:type="paragraph" w:styleId="xl67" w:customStyle="1">
    <w:name w:val="xl67"/>
    <w:basedOn w:val="Normal"/>
    <w:rsid w:val="00AF7478"/>
    <w:pPr>
      <w:spacing w:before="100" w:beforeAutospacing="1" w:after="100" w:afterAutospacing="1" w:line="240" w:lineRule="auto"/>
      <w:jc w:val="both"/>
      <w:textAlignment w:val="top"/>
    </w:pPr>
    <w:rPr>
      <w:rFonts w:ascii="Times New Roman" w:hAnsi="Times New Roman" w:eastAsia="Times New Roman" w:cs="Times New Roman"/>
      <w:sz w:val="24"/>
      <w:szCs w:val="24"/>
      <w:lang w:val="es-ES" w:eastAsia="es-ES"/>
    </w:rPr>
  </w:style>
  <w:style w:type="paragraph" w:styleId="xl68" w:customStyle="1">
    <w:name w:val="xl68"/>
    <w:basedOn w:val="Normal"/>
    <w:rsid w:val="00AF7478"/>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textAlignment w:val="top"/>
    </w:pPr>
    <w:rPr>
      <w:rFonts w:ascii="Times New Roman" w:hAnsi="Times New Roman" w:eastAsia="Times New Roman" w:cs="Times New Roman"/>
      <w:sz w:val="24"/>
      <w:szCs w:val="24"/>
      <w:lang w:val="es-ES" w:eastAsia="es-ES"/>
    </w:rPr>
  </w:style>
  <w:style w:type="paragraph" w:styleId="xl69" w:customStyle="1">
    <w:name w:val="xl69"/>
    <w:basedOn w:val="Normal"/>
    <w:rsid w:val="00AF7478"/>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Times New Roman" w:hAnsi="Times New Roman" w:eastAsia="Times New Roman" w:cs="Times New Roman"/>
      <w:sz w:val="24"/>
      <w:szCs w:val="24"/>
      <w:lang w:val="es-ES" w:eastAsia="es-ES"/>
    </w:rPr>
  </w:style>
  <w:style w:type="paragraph" w:styleId="xl70" w:customStyle="1">
    <w:name w:val="xl70"/>
    <w:basedOn w:val="Normal"/>
    <w:rsid w:val="00AF7478"/>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Times New Roman" w:hAnsi="Times New Roman" w:eastAsia="Times New Roman" w:cs="Times New Roman"/>
      <w:color w:val="0000FF"/>
      <w:sz w:val="24"/>
      <w:szCs w:val="24"/>
      <w:u w:val="single"/>
      <w:lang w:val="es-ES" w:eastAsia="es-ES"/>
    </w:rPr>
  </w:style>
  <w:style w:type="paragraph" w:styleId="xl71" w:customStyle="1">
    <w:name w:val="xl71"/>
    <w:basedOn w:val="Normal"/>
    <w:rsid w:val="00AF7478"/>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top"/>
    </w:pPr>
    <w:rPr>
      <w:rFonts w:ascii="Times New Roman" w:hAnsi="Times New Roman" w:eastAsia="Times New Roman" w:cs="Times New Roman"/>
      <w:b/>
      <w:bCs/>
      <w:sz w:val="24"/>
      <w:szCs w:val="24"/>
      <w:lang w:val="es-ES" w:eastAsia="es-ES"/>
    </w:rPr>
  </w:style>
  <w:style w:type="paragraph" w:styleId="xl28" w:customStyle="1">
    <w:name w:val="xl28"/>
    <w:basedOn w:val="Normal"/>
    <w:rsid w:val="00AF7478"/>
    <w:pPr>
      <w:pBdr>
        <w:top w:val="single" w:color="auto" w:sz="4" w:space="0"/>
        <w:left w:val="single" w:color="auto" w:sz="4" w:space="0"/>
        <w:bottom w:val="single" w:color="auto" w:sz="4" w:space="0"/>
        <w:right w:val="single" w:color="auto" w:sz="4" w:space="0"/>
      </w:pBdr>
      <w:spacing w:beforeLines="1" w:after="0" w:afterLines="1" w:line="240" w:lineRule="auto"/>
      <w:jc w:val="both"/>
      <w:textAlignment w:val="top"/>
    </w:pPr>
    <w:rPr>
      <w:rFonts w:ascii="Times" w:hAnsi="Times" w:eastAsia="Cambria" w:cs="Times New Roman"/>
      <w:b/>
      <w:bCs/>
      <w:lang w:val="es-ES_tradnl" w:eastAsia="es-ES"/>
    </w:rPr>
  </w:style>
  <w:style w:type="paragraph" w:styleId="font5" w:customStyle="1">
    <w:name w:val="font5"/>
    <w:basedOn w:val="Normal"/>
    <w:rsid w:val="00AF7478"/>
    <w:pPr>
      <w:spacing w:beforeLines="1" w:after="0" w:afterLines="1" w:line="240" w:lineRule="auto"/>
      <w:jc w:val="both"/>
    </w:pPr>
    <w:rPr>
      <w:rFonts w:ascii="Verdana" w:hAnsi="Verdana" w:eastAsia="Times New Roman" w:cs="Times New Roman"/>
      <w:sz w:val="16"/>
      <w:szCs w:val="16"/>
      <w:lang w:val="es-ES_tradnl" w:eastAsia="es-ES"/>
    </w:rPr>
  </w:style>
  <w:style w:type="paragraph" w:styleId="xl24" w:customStyle="1">
    <w:name w:val="xl24"/>
    <w:basedOn w:val="Normal"/>
    <w:rsid w:val="00AF7478"/>
    <w:pPr>
      <w:pBdr>
        <w:top w:val="single" w:color="auto" w:sz="4" w:space="0"/>
        <w:left w:val="single" w:color="auto" w:sz="4" w:space="0"/>
        <w:bottom w:val="single" w:color="auto" w:sz="4" w:space="0"/>
        <w:right w:val="single" w:color="auto" w:sz="4" w:space="0"/>
      </w:pBdr>
      <w:spacing w:beforeLines="1" w:after="0" w:afterLines="1" w:line="240" w:lineRule="auto"/>
      <w:jc w:val="both"/>
      <w:textAlignment w:val="top"/>
    </w:pPr>
    <w:rPr>
      <w:rFonts w:ascii="Arial" w:hAnsi="Arial" w:eastAsia="Times New Roman" w:cs="Times New Roman"/>
      <w:b/>
      <w:bCs/>
      <w:sz w:val="16"/>
      <w:szCs w:val="16"/>
      <w:lang w:val="es-ES_tradnl" w:eastAsia="es-ES"/>
    </w:rPr>
  </w:style>
  <w:style w:type="paragraph" w:styleId="xl25" w:customStyle="1">
    <w:name w:val="xl25"/>
    <w:basedOn w:val="Normal"/>
    <w:rsid w:val="00AF7478"/>
    <w:pPr>
      <w:pBdr>
        <w:top w:val="single" w:color="auto" w:sz="4" w:space="0"/>
        <w:left w:val="single" w:color="auto" w:sz="4" w:space="0"/>
        <w:bottom w:val="single" w:color="auto" w:sz="4" w:space="0"/>
        <w:right w:val="single" w:color="auto" w:sz="4" w:space="0"/>
      </w:pBdr>
      <w:spacing w:beforeLines="1" w:after="0" w:afterLines="1" w:line="240" w:lineRule="auto"/>
      <w:jc w:val="both"/>
      <w:textAlignment w:val="top"/>
    </w:pPr>
    <w:rPr>
      <w:rFonts w:ascii="Arial" w:hAnsi="Arial" w:eastAsia="Times New Roman" w:cs="Times New Roman"/>
      <w:sz w:val="16"/>
      <w:szCs w:val="16"/>
      <w:lang w:val="es-ES_tradnl" w:eastAsia="es-ES"/>
    </w:rPr>
  </w:style>
  <w:style w:type="paragraph" w:styleId="xl26" w:customStyle="1">
    <w:name w:val="xl26"/>
    <w:basedOn w:val="Normal"/>
    <w:rsid w:val="00AF7478"/>
    <w:pPr>
      <w:pBdr>
        <w:top w:val="single" w:color="auto" w:sz="4" w:space="0"/>
        <w:left w:val="single" w:color="auto" w:sz="4" w:space="0"/>
        <w:bottom w:val="single" w:color="auto" w:sz="4" w:space="0"/>
        <w:right w:val="single" w:color="auto" w:sz="4" w:space="0"/>
      </w:pBdr>
      <w:spacing w:beforeLines="1" w:after="0" w:afterLines="1" w:line="240" w:lineRule="auto"/>
      <w:jc w:val="center"/>
      <w:textAlignment w:val="center"/>
    </w:pPr>
    <w:rPr>
      <w:rFonts w:ascii="Arial" w:hAnsi="Arial" w:eastAsia="Times New Roman" w:cs="Times New Roman"/>
      <w:b/>
      <w:bCs/>
      <w:sz w:val="16"/>
      <w:szCs w:val="16"/>
      <w:lang w:val="es-ES_tradnl" w:eastAsia="es-ES"/>
    </w:rPr>
  </w:style>
  <w:style w:type="paragraph" w:styleId="xl27" w:customStyle="1">
    <w:name w:val="xl27"/>
    <w:basedOn w:val="Normal"/>
    <w:rsid w:val="00AF7478"/>
    <w:pPr>
      <w:pBdr>
        <w:top w:val="single" w:color="auto" w:sz="4" w:space="0"/>
        <w:left w:val="single" w:color="auto" w:sz="4" w:space="0"/>
        <w:bottom w:val="single" w:color="auto" w:sz="4" w:space="0"/>
        <w:right w:val="single" w:color="auto" w:sz="4" w:space="0"/>
      </w:pBdr>
      <w:spacing w:beforeLines="1" w:after="0" w:afterLines="1" w:line="240" w:lineRule="auto"/>
      <w:jc w:val="both"/>
      <w:textAlignment w:val="top"/>
    </w:pPr>
    <w:rPr>
      <w:rFonts w:ascii="Arial" w:hAnsi="Arial" w:eastAsia="Times New Roman" w:cs="Times New Roman"/>
      <w:sz w:val="16"/>
      <w:szCs w:val="16"/>
      <w:lang w:val="es-ES_tradnl" w:eastAsia="es-ES"/>
    </w:rPr>
  </w:style>
  <w:style w:type="character" w:styleId="Nmerodepgina">
    <w:name w:val="page number"/>
    <w:uiPriority w:val="99"/>
    <w:unhideWhenUsed/>
    <w:rsid w:val="00AF7478"/>
  </w:style>
  <w:style w:type="table" w:styleId="Tablaconcuadrcula1" w:customStyle="1">
    <w:name w:val="Tabla con cuadrícula1"/>
    <w:basedOn w:val="Tablanormal"/>
    <w:next w:val="Tablaconcuadrcula"/>
    <w:uiPriority w:val="59"/>
    <w:rsid w:val="00AF7478"/>
    <w:pPr>
      <w:spacing w:after="0" w:line="240" w:lineRule="auto"/>
    </w:pPr>
    <w:rPr>
      <w:rFonts w:ascii="Calibri" w:hAnsi="Calibri" w:eastAsia="Times New Roman" w:cs="Times New Roman"/>
      <w:kern w:val="0"/>
      <w:sz w:val="20"/>
      <w:szCs w:val="20"/>
      <w:lang w:eastAsia="es-CO"/>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Cuadrculaclara1" w:customStyle="1">
    <w:name w:val="Cuadrícula clara1"/>
    <w:basedOn w:val="Tablanormal"/>
    <w:uiPriority w:val="62"/>
    <w:rsid w:val="00AF7478"/>
    <w:pPr>
      <w:spacing w:after="0" w:line="240" w:lineRule="auto"/>
    </w:pPr>
    <w:rPr>
      <w:rFonts w:ascii="Calibri" w:hAnsi="Calibri" w:eastAsia="Times New Roman" w:cs="Times New Roman"/>
      <w:kern w:val="0"/>
      <w:sz w:val="20"/>
      <w:szCs w:val="20"/>
      <w:lang w:eastAsia="es-CO"/>
      <w14:ligatures w14:val="none"/>
    </w:rPr>
    <w:tblPr>
      <w:tblStyleRowBandSize w:val="1"/>
      <w:tblStyleColBandSize w:val="1"/>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blStylePr w:type="firstRow">
      <w:pPr>
        <w:spacing w:before="0" w:after="0" w:line="240" w:lineRule="auto"/>
      </w:pPr>
      <w:rPr>
        <w:rFonts w:ascii="Consolas" w:hAnsi="Consolas" w:eastAsia="Times New Roman" w:cs="Times New Roman"/>
        <w:b/>
        <w:bCs/>
      </w:rPr>
      <w:tblPr/>
      <w:tcPr>
        <w:tcBorders>
          <w:top w:val="single" w:color="000000" w:sz="8" w:space="0"/>
          <w:left w:val="single" w:color="000000" w:sz="8" w:space="0"/>
          <w:bottom w:val="single" w:color="000000" w:sz="18" w:space="0"/>
          <w:right w:val="single" w:color="000000" w:sz="8" w:space="0"/>
          <w:insideH w:val="nil"/>
          <w:insideV w:val="single" w:color="000000" w:sz="8" w:space="0"/>
        </w:tcBorders>
      </w:tcPr>
    </w:tblStylePr>
    <w:tblStylePr w:type="lastRow">
      <w:pPr>
        <w:spacing w:before="0" w:after="0" w:line="240" w:lineRule="auto"/>
      </w:pPr>
      <w:rPr>
        <w:rFonts w:ascii="Consolas" w:hAnsi="Consolas" w:eastAsia="Times New Roman" w:cs="Times New Roman"/>
        <w:b/>
        <w:bCs/>
      </w:rPr>
      <w:tblPr/>
      <w:tcPr>
        <w:tcBorders>
          <w:top w:val="double" w:color="000000" w:sz="6" w:space="0"/>
          <w:left w:val="single" w:color="000000" w:sz="8" w:space="0"/>
          <w:bottom w:val="single" w:color="000000" w:sz="8" w:space="0"/>
          <w:right w:val="single" w:color="000000" w:sz="8" w:space="0"/>
          <w:insideH w:val="nil"/>
          <w:insideV w:val="single" w:color="000000" w:sz="8" w:space="0"/>
        </w:tcBorders>
      </w:tcPr>
    </w:tblStylePr>
    <w:tblStylePr w:type="firstCol">
      <w:rPr>
        <w:rFonts w:ascii="Consolas" w:hAnsi="Consolas" w:eastAsia="Times New Roman" w:cs="Times New Roman"/>
        <w:b/>
        <w:bCs/>
      </w:rPr>
    </w:tblStylePr>
    <w:tblStylePr w:type="lastCol">
      <w:rPr>
        <w:rFonts w:ascii="Consolas" w:hAnsi="Consolas" w:eastAsia="Times New Roman" w:cs="Times New Roman"/>
        <w:b/>
        <w:bCs/>
      </w:rPr>
      <w:tblPr/>
      <w:tcPr>
        <w:tcBorders>
          <w:top w:val="single" w:color="000000" w:sz="8" w:space="0"/>
          <w:left w:val="single" w:color="000000" w:sz="8" w:space="0"/>
          <w:bottom w:val="single" w:color="000000" w:sz="8" w:space="0"/>
          <w:right w:val="single" w:color="000000" w:sz="8" w:space="0"/>
        </w:tcBorders>
      </w:tcPr>
    </w:tblStylePr>
    <w:tblStylePr w:type="band1Vert">
      <w:tblPr/>
      <w:tcPr>
        <w:tcBorders>
          <w:top w:val="single" w:color="000000" w:sz="8" w:space="0"/>
          <w:left w:val="single" w:color="000000" w:sz="8" w:space="0"/>
          <w:bottom w:val="single" w:color="000000" w:sz="8" w:space="0"/>
          <w:right w:val="single" w:color="000000" w:sz="8" w:space="0"/>
        </w:tcBorders>
        <w:shd w:val="clear" w:color="auto" w:fill="C0C0C0"/>
      </w:tcPr>
    </w:tblStylePr>
    <w:tblStylePr w:type="band1Horz">
      <w:tblPr/>
      <w:tcPr>
        <w:tcBorders>
          <w:top w:val="single" w:color="000000" w:sz="8" w:space="0"/>
          <w:left w:val="single" w:color="000000" w:sz="8" w:space="0"/>
          <w:bottom w:val="single" w:color="000000" w:sz="8" w:space="0"/>
          <w:right w:val="single" w:color="000000" w:sz="8" w:space="0"/>
          <w:insideV w:val="single" w:color="000000" w:sz="8" w:space="0"/>
        </w:tcBorders>
        <w:shd w:val="clear" w:color="auto" w:fill="C0C0C0"/>
      </w:tcPr>
    </w:tblStylePr>
    <w:tblStylePr w:type="band2Horz">
      <w:tblPr/>
      <w:tcPr>
        <w:tcBorders>
          <w:top w:val="single" w:color="000000" w:sz="8" w:space="0"/>
          <w:left w:val="single" w:color="000000" w:sz="8" w:space="0"/>
          <w:bottom w:val="single" w:color="000000" w:sz="8" w:space="0"/>
          <w:right w:val="single" w:color="000000" w:sz="8" w:space="0"/>
          <w:insideV w:val="single" w:color="000000" w:sz="8" w:space="0"/>
        </w:tcBorders>
      </w:tcPr>
    </w:tblStylePr>
  </w:style>
  <w:style w:type="paragraph" w:styleId="Grafico" w:customStyle="1">
    <w:name w:val="Grafico"/>
    <w:basedOn w:val="Normal"/>
    <w:qFormat/>
    <w:rsid w:val="00AF7478"/>
    <w:pPr>
      <w:spacing w:before="200" w:after="600" w:line="240" w:lineRule="auto"/>
      <w:ind w:left="432" w:hanging="432"/>
      <w:jc w:val="center"/>
    </w:pPr>
    <w:rPr>
      <w:rFonts w:ascii="Arial" w:hAnsi="Arial" w:eastAsia="Calibri" w:cs="Times New Roman"/>
      <w:b/>
      <w:bCs/>
      <w:noProof/>
      <w:sz w:val="24"/>
      <w:szCs w:val="32"/>
      <w:lang w:val="en-US"/>
    </w:rPr>
  </w:style>
  <w:style w:type="paragraph" w:styleId="Fuente" w:customStyle="1">
    <w:name w:val="Fuente"/>
    <w:basedOn w:val="Tabla0"/>
    <w:qFormat/>
    <w:rsid w:val="00AF7478"/>
    <w:pPr>
      <w:keepNext w:val="0"/>
      <w:tabs>
        <w:tab w:val="clear" w:pos="340"/>
        <w:tab w:val="clear" w:pos="4252"/>
        <w:tab w:val="clear" w:pos="8504"/>
      </w:tabs>
      <w:spacing w:before="120" w:after="240" w:line="240" w:lineRule="auto"/>
      <w:jc w:val="center"/>
    </w:pPr>
    <w:rPr>
      <w:rFonts w:eastAsia="Times New Roman" w:cs="Times New Roman"/>
      <w:bCs/>
      <w:sz w:val="16"/>
      <w:szCs w:val="18"/>
      <w:lang w:eastAsia="en-US"/>
    </w:rPr>
  </w:style>
  <w:style w:type="table" w:styleId="Tabladecuadrcula4-nfasis41" w:customStyle="1">
    <w:name w:val="Tabla de cuadrícula 4 - Énfasis 41"/>
    <w:basedOn w:val="Tablanormal"/>
    <w:uiPriority w:val="49"/>
    <w:rsid w:val="00AF7478"/>
    <w:pPr>
      <w:spacing w:after="0" w:line="240" w:lineRule="auto"/>
    </w:pPr>
    <w:rPr>
      <w:rFonts w:ascii="Calibri" w:hAnsi="Calibri" w:eastAsia="Calibri" w:cs="Times New Roman"/>
      <w:kern w:val="0"/>
      <w:sz w:val="20"/>
      <w:szCs w:val="20"/>
      <w:lang w:eastAsia="es-CO"/>
      <w14:ligatures w14:val="none"/>
    </w:rPr>
    <w:tblPr>
      <w:tblStyleRowBandSize w:val="1"/>
      <w:tblStyleColBandSize w:val="1"/>
      <w:tblBorders>
        <w:top w:val="single" w:color="B2A1C7" w:sz="4" w:space="0"/>
        <w:left w:val="single" w:color="B2A1C7" w:sz="4" w:space="0"/>
        <w:bottom w:val="single" w:color="B2A1C7" w:sz="4" w:space="0"/>
        <w:right w:val="single" w:color="B2A1C7" w:sz="4" w:space="0"/>
        <w:insideH w:val="single" w:color="B2A1C7" w:sz="4" w:space="0"/>
        <w:insideV w:val="single" w:color="B2A1C7" w:sz="4" w:space="0"/>
      </w:tblBorders>
    </w:tblPr>
    <w:tblStylePr w:type="firstRow">
      <w:rPr>
        <w:b/>
        <w:bCs/>
        <w:color w:val="FFFFFF"/>
      </w:rPr>
      <w:tblPr/>
      <w:tcPr>
        <w:tcBorders>
          <w:top w:val="single" w:color="8064A2" w:sz="4" w:space="0"/>
          <w:left w:val="single" w:color="8064A2" w:sz="4" w:space="0"/>
          <w:bottom w:val="single" w:color="8064A2" w:sz="4" w:space="0"/>
          <w:right w:val="single" w:color="8064A2" w:sz="4" w:space="0"/>
          <w:insideH w:val="nil"/>
          <w:insideV w:val="nil"/>
        </w:tcBorders>
        <w:shd w:val="clear" w:color="auto" w:fill="8064A2"/>
      </w:tcPr>
    </w:tblStylePr>
    <w:tblStylePr w:type="lastRow">
      <w:rPr>
        <w:b/>
        <w:bCs/>
      </w:rPr>
      <w:tblPr/>
      <w:tcPr>
        <w:tcBorders>
          <w:top w:val="double" w:color="8064A2" w:sz="4" w:space="0"/>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paragraph" w:styleId="Hoja" w:customStyle="1">
    <w:name w:val="Hoja"/>
    <w:basedOn w:val="Prrafodelista"/>
    <w:link w:val="HojaCar"/>
    <w:qFormat/>
    <w:rsid w:val="00AF7478"/>
    <w:pPr>
      <w:spacing w:after="0" w:line="240" w:lineRule="auto"/>
      <w:ind w:left="0"/>
      <w:jc w:val="both"/>
    </w:pPr>
    <w:rPr>
      <w:rFonts w:ascii="Arial" w:hAnsi="Arial" w:eastAsia="Calibri" w:cs="Courier New"/>
      <w:b/>
      <w:sz w:val="24"/>
      <w:lang w:eastAsia="es-CO"/>
    </w:rPr>
  </w:style>
  <w:style w:type="character" w:styleId="HojaCar" w:customStyle="1">
    <w:name w:val="Hoja Car"/>
    <w:link w:val="Hoja"/>
    <w:rsid w:val="00AF7478"/>
    <w:rPr>
      <w:rFonts w:ascii="Arial" w:hAnsi="Arial" w:eastAsia="Calibri" w:cs="Courier New"/>
      <w:b/>
      <w:kern w:val="0"/>
      <w:sz w:val="24"/>
      <w:lang w:val="en-US" w:eastAsia="es-CO"/>
      <w14:ligatures w14:val="none"/>
    </w:rPr>
  </w:style>
  <w:style w:type="character" w:styleId="Nmerodelnea">
    <w:name w:val="line number"/>
    <w:uiPriority w:val="99"/>
    <w:semiHidden/>
    <w:unhideWhenUsed/>
    <w:rsid w:val="00AF7478"/>
  </w:style>
  <w:style w:type="paragraph" w:styleId="GRAFICOSRES" w:customStyle="1">
    <w:name w:val="GRAFICOS_RES"/>
    <w:basedOn w:val="Normal"/>
    <w:autoRedefine/>
    <w:qFormat/>
    <w:rsid w:val="00AF7478"/>
    <w:pPr>
      <w:spacing w:before="100" w:after="100" w:line="240" w:lineRule="auto"/>
      <w:jc w:val="center"/>
    </w:pPr>
    <w:rPr>
      <w:rFonts w:ascii="Arial" w:hAnsi="Arial" w:eastAsia="Times New Roman" w:cs="Times New Roman"/>
      <w:b/>
      <w:bCs/>
      <w:color w:val="000000"/>
      <w:sz w:val="22"/>
      <w:szCs w:val="22"/>
      <w:lang w:eastAsia="es-CO"/>
    </w:rPr>
  </w:style>
  <w:style w:type="paragraph" w:styleId="Epigrafe" w:customStyle="1">
    <w:name w:val="Epigrafe"/>
    <w:basedOn w:val="Normal"/>
    <w:link w:val="EpigrafeCar"/>
    <w:autoRedefine/>
    <w:qFormat/>
    <w:rsid w:val="00AF7478"/>
    <w:pPr>
      <w:spacing w:after="0" w:line="240" w:lineRule="auto"/>
      <w:jc w:val="both"/>
    </w:pPr>
    <w:rPr>
      <w:rFonts w:ascii="Arial" w:hAnsi="Arial" w:eastAsia="Calibri" w:cs="Arial"/>
    </w:rPr>
  </w:style>
  <w:style w:type="character" w:styleId="EpigrafeCar" w:customStyle="1">
    <w:name w:val="Epigrafe Car"/>
    <w:link w:val="Epigrafe"/>
    <w:rsid w:val="00AF7478"/>
    <w:rPr>
      <w:rFonts w:ascii="Arial" w:hAnsi="Arial" w:eastAsia="Calibri" w:cs="Arial"/>
      <w:kern w:val="0"/>
      <w:sz w:val="20"/>
      <w:szCs w:val="20"/>
      <w14:ligatures w14:val="none"/>
    </w:rPr>
  </w:style>
  <w:style w:type="paragraph" w:styleId="Vieta1-Titulo6" w:customStyle="1">
    <w:name w:val="Viñeta 1 - Titulo 6"/>
    <w:basedOn w:val="Normal"/>
    <w:link w:val="Vieta1-Titulo6Car"/>
    <w:qFormat/>
    <w:rsid w:val="00AF7478"/>
    <w:pPr>
      <w:spacing w:after="200" w:line="276" w:lineRule="auto"/>
      <w:jc w:val="both"/>
    </w:pPr>
    <w:rPr>
      <w:rFonts w:ascii="Arial" w:hAnsi="Arial" w:eastAsia="Calibri" w:cs="Times New Roman"/>
      <w:b/>
      <w:sz w:val="22"/>
      <w:szCs w:val="22"/>
    </w:rPr>
  </w:style>
  <w:style w:type="character" w:styleId="Vieta1-Titulo6Car" w:customStyle="1">
    <w:name w:val="Viñeta 1 - Titulo 6 Car"/>
    <w:link w:val="Vieta1-Titulo6"/>
    <w:rsid w:val="00AF7478"/>
    <w:rPr>
      <w:rFonts w:ascii="Arial" w:hAnsi="Arial" w:eastAsia="Calibri" w:cs="Times New Roman"/>
      <w:b/>
      <w:kern w:val="0"/>
      <w14:ligatures w14:val="none"/>
    </w:rPr>
  </w:style>
  <w:style w:type="table" w:styleId="Tablaconcuadrcula11" w:customStyle="1">
    <w:name w:val="Tabla con cuadrícula11"/>
    <w:basedOn w:val="Tablanormal"/>
    <w:next w:val="Tablaconcuadrcula"/>
    <w:uiPriority w:val="59"/>
    <w:rsid w:val="00AF7478"/>
    <w:pPr>
      <w:spacing w:after="0" w:line="240" w:lineRule="auto"/>
    </w:pPr>
    <w:rPr>
      <w:rFonts w:ascii="Calibri" w:hAnsi="Calibri" w:eastAsia="Times New Roman" w:cs="Times New Roman"/>
      <w:kern w:val="0"/>
      <w:lang w:eastAsia="es-CO"/>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numbering" w:styleId="Sinlista1" w:customStyle="1">
    <w:name w:val="Sin lista1"/>
    <w:next w:val="Sinlista"/>
    <w:uiPriority w:val="99"/>
    <w:semiHidden/>
    <w:unhideWhenUsed/>
    <w:rsid w:val="00AF7478"/>
  </w:style>
  <w:style w:type="paragraph" w:styleId="tc3" w:customStyle="1">
    <w:name w:val="tc3"/>
    <w:basedOn w:val="TDC3"/>
    <w:link w:val="tc3Car"/>
    <w:qFormat/>
    <w:rsid w:val="00AF7478"/>
    <w:pPr>
      <w:tabs>
        <w:tab w:val="left" w:pos="880"/>
        <w:tab w:val="right" w:pos="8829"/>
      </w:tabs>
      <w:spacing w:before="40" w:after="40" w:line="240" w:lineRule="auto"/>
      <w:ind w:left="0"/>
    </w:pPr>
    <w:rPr>
      <w:rFonts w:ascii="Calibri" w:hAnsi="Calibri" w:eastAsia="Times New Roman" w:cs="Times New Roman"/>
      <w:lang w:eastAsia="es-ES"/>
    </w:rPr>
  </w:style>
  <w:style w:type="character" w:styleId="tc3Car" w:customStyle="1">
    <w:name w:val="tc3 Car"/>
    <w:link w:val="tc3"/>
    <w:rsid w:val="00AF7478"/>
    <w:rPr>
      <w:rFonts w:ascii="Calibri" w:hAnsi="Calibri" w:eastAsia="Times New Roman" w:cs="Times New Roman"/>
      <w:kern w:val="0"/>
      <w:sz w:val="20"/>
      <w:szCs w:val="20"/>
      <w:lang w:eastAsia="es-ES"/>
      <w14:ligatures w14:val="none"/>
    </w:rPr>
  </w:style>
  <w:style w:type="paragraph" w:styleId="TDC31" w:customStyle="1">
    <w:name w:val="TDC 31"/>
    <w:basedOn w:val="Normal"/>
    <w:next w:val="Normal"/>
    <w:autoRedefine/>
    <w:uiPriority w:val="39"/>
    <w:semiHidden/>
    <w:unhideWhenUsed/>
    <w:rsid w:val="00AF7478"/>
    <w:pPr>
      <w:spacing w:after="100" w:line="276" w:lineRule="auto"/>
      <w:ind w:left="440"/>
    </w:pPr>
    <w:rPr>
      <w:rFonts w:ascii="Calibri" w:hAnsi="Calibri" w:eastAsia="Times New Roman" w:cs="Times New Roman"/>
      <w:sz w:val="22"/>
      <w:szCs w:val="22"/>
      <w:lang w:eastAsia="es-CO"/>
    </w:rPr>
  </w:style>
  <w:style w:type="table" w:styleId="Tablaconcuadrcula2" w:customStyle="1">
    <w:name w:val="Tabla con cuadrícula2"/>
    <w:basedOn w:val="Tablanormal"/>
    <w:next w:val="Tablaconcuadrcula"/>
    <w:uiPriority w:val="59"/>
    <w:rsid w:val="00AF7478"/>
    <w:pPr>
      <w:spacing w:after="0" w:line="240" w:lineRule="auto"/>
    </w:pPr>
    <w:rPr>
      <w:rFonts w:ascii="Calibri" w:hAnsi="Calibri" w:eastAsia="Calibri" w:cs="Times New Roman"/>
      <w:kern w:val="0"/>
      <w:lang w:eastAsia="es-CO"/>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numbering" w:styleId="Sinlista11" w:customStyle="1">
    <w:name w:val="Sin lista11"/>
    <w:next w:val="Sinlista"/>
    <w:uiPriority w:val="99"/>
    <w:semiHidden/>
    <w:unhideWhenUsed/>
    <w:rsid w:val="00AF7478"/>
  </w:style>
  <w:style w:type="table" w:styleId="Tabladecuadrcula41" w:customStyle="1">
    <w:name w:val="Tabla de cuadrícula 41"/>
    <w:basedOn w:val="Tablanormal"/>
    <w:uiPriority w:val="49"/>
    <w:rsid w:val="00AF7478"/>
    <w:pPr>
      <w:spacing w:after="0" w:line="240" w:lineRule="auto"/>
    </w:pPr>
    <w:rPr>
      <w:rFonts w:ascii="Calibri" w:hAnsi="Calibri" w:eastAsia="Calibri" w:cs="Times New Roman"/>
      <w:kern w:val="0"/>
      <w:sz w:val="20"/>
      <w:szCs w:val="20"/>
      <w:lang w:eastAsia="es-CO"/>
      <w14:ligatures w14:val="none"/>
    </w:rPr>
    <w:tblPr>
      <w:tblStyleRowBandSize w:val="1"/>
      <w:tblStyleColBandSize w:val="1"/>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color w:val="FFFFFF"/>
      </w:rPr>
      <w:tblPr/>
      <w:tcPr>
        <w:tcBorders>
          <w:top w:val="single" w:color="000000" w:sz="4" w:space="0"/>
          <w:left w:val="single" w:color="000000" w:sz="4" w:space="0"/>
          <w:bottom w:val="single" w:color="000000" w:sz="4" w:space="0"/>
          <w:right w:val="single" w:color="000000" w:sz="4" w:space="0"/>
          <w:insideH w:val="nil"/>
          <w:insideV w:val="nil"/>
        </w:tcBorders>
        <w:shd w:val="clear" w:color="auto" w:fill="000000"/>
      </w:tcPr>
    </w:tblStylePr>
    <w:tblStylePr w:type="lastRow">
      <w:rPr>
        <w:b/>
        <w:bCs/>
      </w:rPr>
      <w:tblPr/>
      <w:tcPr>
        <w:tcBorders>
          <w:top w:val="double" w:color="000000" w:sz="4" w:space="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adelista6concolores1" w:customStyle="1">
    <w:name w:val="Tabla de lista 6 con colores1"/>
    <w:basedOn w:val="Tablanormal"/>
    <w:uiPriority w:val="51"/>
    <w:rsid w:val="00AF7478"/>
    <w:pPr>
      <w:spacing w:after="0" w:line="240" w:lineRule="auto"/>
    </w:pPr>
    <w:rPr>
      <w:rFonts w:ascii="Calibri" w:hAnsi="Calibri" w:eastAsia="Calibri" w:cs="Times New Roman"/>
      <w:color w:val="000000"/>
      <w:kern w:val="0"/>
      <w:sz w:val="20"/>
      <w:szCs w:val="20"/>
      <w:lang w:eastAsia="es-CO"/>
      <w14:ligatures w14:val="none"/>
    </w:rPr>
    <w:tblPr>
      <w:tblStyleRowBandSize w:val="1"/>
      <w:tblStyleColBandSize w:val="1"/>
      <w:tblBorders>
        <w:top w:val="single" w:color="000000" w:sz="4" w:space="0"/>
        <w:bottom w:val="single" w:color="000000" w:sz="4" w:space="0"/>
      </w:tblBorders>
    </w:tblPr>
    <w:tblStylePr w:type="firstRow">
      <w:rPr>
        <w:b/>
        <w:bCs/>
      </w:rPr>
      <w:tblPr/>
      <w:tcPr>
        <w:tcBorders>
          <w:bottom w:val="single" w:color="000000" w:sz="4" w:space="0"/>
        </w:tcBorders>
      </w:tcPr>
    </w:tblStylePr>
    <w:tblStylePr w:type="lastRow">
      <w:rPr>
        <w:b/>
        <w:bCs/>
      </w:rPr>
      <w:tblPr/>
      <w:tcPr>
        <w:tcBorders>
          <w:top w:val="double" w:color="000000" w:sz="4" w:space="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xl63" w:customStyle="1">
    <w:name w:val="xl63"/>
    <w:basedOn w:val="Normal"/>
    <w:rsid w:val="00AF7478"/>
    <w:pPr>
      <w:pBdr>
        <w:top w:val="single" w:color="auto" w:sz="8" w:space="0"/>
        <w:left w:val="single" w:color="auto" w:sz="8" w:space="0"/>
        <w:bottom w:val="single" w:color="auto" w:sz="8" w:space="0"/>
        <w:right w:val="single" w:color="auto" w:sz="8" w:space="0"/>
      </w:pBdr>
      <w:shd w:val="clear" w:color="000000" w:fill="C6D9F1"/>
      <w:spacing w:before="100" w:beforeAutospacing="1" w:after="100" w:afterAutospacing="1" w:line="240" w:lineRule="auto"/>
      <w:textAlignment w:val="center"/>
    </w:pPr>
    <w:rPr>
      <w:rFonts w:ascii="Times New Roman" w:hAnsi="Times New Roman" w:eastAsia="Times New Roman" w:cs="Times New Roman"/>
      <w:b/>
      <w:bCs/>
      <w:sz w:val="18"/>
      <w:szCs w:val="18"/>
      <w:lang w:eastAsia="es-CO"/>
    </w:rPr>
  </w:style>
  <w:style w:type="paragraph" w:styleId="xl64" w:customStyle="1">
    <w:name w:val="xl64"/>
    <w:basedOn w:val="Normal"/>
    <w:rsid w:val="00AF7478"/>
    <w:pPr>
      <w:pBdr>
        <w:top w:val="single" w:color="auto" w:sz="8" w:space="0"/>
        <w:bottom w:val="single" w:color="auto" w:sz="8" w:space="0"/>
        <w:right w:val="single" w:color="auto" w:sz="8" w:space="0"/>
      </w:pBdr>
      <w:shd w:val="clear" w:color="000000" w:fill="C6D9F1"/>
      <w:spacing w:before="100" w:beforeAutospacing="1" w:after="100" w:afterAutospacing="1" w:line="240" w:lineRule="auto"/>
      <w:textAlignment w:val="center"/>
    </w:pPr>
    <w:rPr>
      <w:rFonts w:ascii="Times New Roman" w:hAnsi="Times New Roman" w:eastAsia="Times New Roman" w:cs="Times New Roman"/>
      <w:b/>
      <w:bCs/>
      <w:sz w:val="18"/>
      <w:szCs w:val="18"/>
      <w:lang w:eastAsia="es-CO"/>
    </w:rPr>
  </w:style>
  <w:style w:type="paragraph" w:styleId="xl65" w:customStyle="1">
    <w:name w:val="xl65"/>
    <w:basedOn w:val="Normal"/>
    <w:rsid w:val="00AF7478"/>
    <w:pPr>
      <w:pBdr>
        <w:bottom w:val="single" w:color="auto" w:sz="8" w:space="0"/>
        <w:right w:val="single" w:color="auto" w:sz="8" w:space="0"/>
      </w:pBdr>
      <w:spacing w:before="100" w:beforeAutospacing="1" w:after="100" w:afterAutospacing="1" w:line="240" w:lineRule="auto"/>
      <w:textAlignment w:val="center"/>
    </w:pPr>
    <w:rPr>
      <w:rFonts w:ascii="Times New Roman" w:hAnsi="Times New Roman" w:eastAsia="Times New Roman" w:cs="Times New Roman"/>
      <w:lang w:eastAsia="es-CO"/>
    </w:rPr>
  </w:style>
  <w:style w:type="paragraph" w:styleId="xl72" w:customStyle="1">
    <w:name w:val="xl72"/>
    <w:basedOn w:val="Normal"/>
    <w:rsid w:val="00AF7478"/>
    <w:pPr>
      <w:pBdr>
        <w:left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b/>
      <w:bCs/>
      <w:lang w:eastAsia="es-CO"/>
    </w:rPr>
  </w:style>
  <w:style w:type="paragraph" w:styleId="xl73" w:customStyle="1">
    <w:name w:val="xl73"/>
    <w:basedOn w:val="Normal"/>
    <w:rsid w:val="00AF7478"/>
    <w:pPr>
      <w:pBdr>
        <w:top w:val="single" w:color="auto" w:sz="8" w:space="0"/>
        <w:left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b/>
      <w:bCs/>
      <w:lang w:eastAsia="es-CO"/>
    </w:rPr>
  </w:style>
  <w:style w:type="paragraph" w:styleId="xl74" w:customStyle="1">
    <w:name w:val="xl74"/>
    <w:basedOn w:val="Normal"/>
    <w:rsid w:val="00AF7478"/>
    <w:pPr>
      <w:pBdr>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b/>
      <w:bCs/>
      <w:lang w:eastAsia="es-CO"/>
    </w:rPr>
  </w:style>
  <w:style w:type="paragraph" w:styleId="xl75" w:customStyle="1">
    <w:name w:val="xl75"/>
    <w:basedOn w:val="Normal"/>
    <w:rsid w:val="00AF7478"/>
    <w:pPr>
      <w:pBdr>
        <w:top w:val="single" w:color="auto" w:sz="8" w:space="0"/>
        <w:left w:val="single" w:color="auto" w:sz="8" w:space="0"/>
        <w:right w:val="single" w:color="auto" w:sz="8" w:space="0"/>
      </w:pBdr>
      <w:spacing w:before="100" w:beforeAutospacing="1" w:after="100" w:afterAutospacing="1" w:line="240" w:lineRule="auto"/>
      <w:textAlignment w:val="center"/>
    </w:pPr>
    <w:rPr>
      <w:rFonts w:ascii="Times New Roman" w:hAnsi="Times New Roman" w:eastAsia="Times New Roman" w:cs="Times New Roman"/>
      <w:lang w:eastAsia="es-CO"/>
    </w:rPr>
  </w:style>
  <w:style w:type="paragraph" w:styleId="xl76" w:customStyle="1">
    <w:name w:val="xl76"/>
    <w:basedOn w:val="Normal"/>
    <w:rsid w:val="00AF7478"/>
    <w:pPr>
      <w:pBdr>
        <w:left w:val="single" w:color="auto" w:sz="8" w:space="0"/>
        <w:right w:val="single" w:color="auto" w:sz="8" w:space="0"/>
      </w:pBdr>
      <w:spacing w:before="100" w:beforeAutospacing="1" w:after="100" w:afterAutospacing="1" w:line="240" w:lineRule="auto"/>
      <w:textAlignment w:val="center"/>
    </w:pPr>
    <w:rPr>
      <w:rFonts w:ascii="Times New Roman" w:hAnsi="Times New Roman" w:eastAsia="Times New Roman" w:cs="Times New Roman"/>
      <w:lang w:eastAsia="es-CO"/>
    </w:rPr>
  </w:style>
  <w:style w:type="paragraph" w:styleId="xl77" w:customStyle="1">
    <w:name w:val="xl77"/>
    <w:basedOn w:val="Normal"/>
    <w:rsid w:val="00AF7478"/>
    <w:pPr>
      <w:pBdr>
        <w:left w:val="single" w:color="auto" w:sz="8" w:space="0"/>
        <w:bottom w:val="single" w:color="auto" w:sz="8" w:space="0"/>
        <w:right w:val="single" w:color="auto" w:sz="8" w:space="0"/>
      </w:pBdr>
      <w:spacing w:before="100" w:beforeAutospacing="1" w:after="100" w:afterAutospacing="1" w:line="240" w:lineRule="auto"/>
      <w:textAlignment w:val="center"/>
    </w:pPr>
    <w:rPr>
      <w:rFonts w:ascii="Times New Roman" w:hAnsi="Times New Roman" w:eastAsia="Times New Roman" w:cs="Times New Roman"/>
      <w:lang w:eastAsia="es-CO"/>
    </w:rPr>
  </w:style>
  <w:style w:type="paragraph" w:styleId="xl78" w:customStyle="1">
    <w:name w:val="xl78"/>
    <w:basedOn w:val="Normal"/>
    <w:rsid w:val="00AF7478"/>
    <w:pPr>
      <w:pBdr>
        <w:top w:val="single" w:color="auto" w:sz="8" w:space="0"/>
        <w:left w:val="single" w:color="auto" w:sz="8" w:space="0"/>
        <w:right w:val="single" w:color="auto" w:sz="8" w:space="0"/>
      </w:pBdr>
      <w:spacing w:before="100" w:beforeAutospacing="1" w:after="100" w:afterAutospacing="1" w:line="240" w:lineRule="auto"/>
      <w:textAlignment w:val="center"/>
    </w:pPr>
    <w:rPr>
      <w:rFonts w:ascii="Times New Roman" w:hAnsi="Times New Roman" w:eastAsia="Times New Roman" w:cs="Times New Roman"/>
      <w:sz w:val="18"/>
      <w:szCs w:val="18"/>
      <w:lang w:eastAsia="es-CO"/>
    </w:rPr>
  </w:style>
  <w:style w:type="paragraph" w:styleId="xl79" w:customStyle="1">
    <w:name w:val="xl79"/>
    <w:basedOn w:val="Normal"/>
    <w:rsid w:val="00AF7478"/>
    <w:pPr>
      <w:pBdr>
        <w:left w:val="single" w:color="auto" w:sz="8" w:space="0"/>
        <w:right w:val="single" w:color="auto" w:sz="8" w:space="0"/>
      </w:pBdr>
      <w:spacing w:before="100" w:beforeAutospacing="1" w:after="100" w:afterAutospacing="1" w:line="240" w:lineRule="auto"/>
      <w:textAlignment w:val="center"/>
    </w:pPr>
    <w:rPr>
      <w:rFonts w:ascii="Times New Roman" w:hAnsi="Times New Roman" w:eastAsia="Times New Roman" w:cs="Times New Roman"/>
      <w:sz w:val="18"/>
      <w:szCs w:val="18"/>
      <w:lang w:eastAsia="es-CO"/>
    </w:rPr>
  </w:style>
  <w:style w:type="paragraph" w:styleId="xl80" w:customStyle="1">
    <w:name w:val="xl80"/>
    <w:basedOn w:val="Normal"/>
    <w:rsid w:val="00AF7478"/>
    <w:pPr>
      <w:pBdr>
        <w:left w:val="single" w:color="auto" w:sz="8" w:space="0"/>
        <w:bottom w:val="single" w:color="auto" w:sz="8" w:space="0"/>
        <w:right w:val="single" w:color="auto" w:sz="8" w:space="0"/>
      </w:pBdr>
      <w:spacing w:before="100" w:beforeAutospacing="1" w:after="100" w:afterAutospacing="1" w:line="240" w:lineRule="auto"/>
      <w:textAlignment w:val="center"/>
    </w:pPr>
    <w:rPr>
      <w:rFonts w:ascii="Times New Roman" w:hAnsi="Times New Roman" w:eastAsia="Times New Roman" w:cs="Times New Roman"/>
      <w:sz w:val="18"/>
      <w:szCs w:val="18"/>
      <w:lang w:eastAsia="es-CO"/>
    </w:rPr>
  </w:style>
  <w:style w:type="paragraph" w:styleId="xl81" w:customStyle="1">
    <w:name w:val="xl81"/>
    <w:basedOn w:val="Normal"/>
    <w:rsid w:val="00AF7478"/>
    <w:pPr>
      <w:pBdr>
        <w:top w:val="single" w:color="auto" w:sz="8" w:space="0"/>
        <w:left w:val="single" w:color="auto" w:sz="8" w:space="0"/>
        <w:right w:val="single" w:color="auto" w:sz="8" w:space="0"/>
      </w:pBdr>
      <w:spacing w:before="100" w:beforeAutospacing="1" w:after="100" w:afterAutospacing="1" w:line="240" w:lineRule="auto"/>
      <w:jc w:val="right"/>
      <w:textAlignment w:val="center"/>
    </w:pPr>
    <w:rPr>
      <w:rFonts w:ascii="Times New Roman" w:hAnsi="Times New Roman" w:eastAsia="Times New Roman" w:cs="Times New Roman"/>
      <w:sz w:val="18"/>
      <w:szCs w:val="18"/>
      <w:lang w:eastAsia="es-CO"/>
    </w:rPr>
  </w:style>
  <w:style w:type="paragraph" w:styleId="xl82" w:customStyle="1">
    <w:name w:val="xl82"/>
    <w:basedOn w:val="Normal"/>
    <w:rsid w:val="00AF7478"/>
    <w:pPr>
      <w:pBdr>
        <w:left w:val="single" w:color="auto" w:sz="8" w:space="0"/>
        <w:right w:val="single" w:color="auto" w:sz="8" w:space="0"/>
      </w:pBdr>
      <w:spacing w:before="100" w:beforeAutospacing="1" w:after="100" w:afterAutospacing="1" w:line="240" w:lineRule="auto"/>
      <w:jc w:val="right"/>
      <w:textAlignment w:val="center"/>
    </w:pPr>
    <w:rPr>
      <w:rFonts w:ascii="Times New Roman" w:hAnsi="Times New Roman" w:eastAsia="Times New Roman" w:cs="Times New Roman"/>
      <w:sz w:val="18"/>
      <w:szCs w:val="18"/>
      <w:lang w:eastAsia="es-CO"/>
    </w:rPr>
  </w:style>
  <w:style w:type="paragraph" w:styleId="xl83" w:customStyle="1">
    <w:name w:val="xl83"/>
    <w:basedOn w:val="Normal"/>
    <w:rsid w:val="00AF7478"/>
    <w:pPr>
      <w:pBdr>
        <w:left w:val="single" w:color="auto" w:sz="8" w:space="0"/>
        <w:bottom w:val="single" w:color="auto" w:sz="8" w:space="0"/>
        <w:right w:val="single" w:color="auto" w:sz="8" w:space="0"/>
      </w:pBdr>
      <w:spacing w:before="100" w:beforeAutospacing="1" w:after="100" w:afterAutospacing="1" w:line="240" w:lineRule="auto"/>
      <w:jc w:val="right"/>
      <w:textAlignment w:val="center"/>
    </w:pPr>
    <w:rPr>
      <w:rFonts w:ascii="Times New Roman" w:hAnsi="Times New Roman" w:eastAsia="Times New Roman" w:cs="Times New Roman"/>
      <w:sz w:val="18"/>
      <w:szCs w:val="18"/>
      <w:lang w:eastAsia="es-CO"/>
    </w:rPr>
  </w:style>
  <w:style w:type="paragraph" w:styleId="xl84" w:customStyle="1">
    <w:name w:val="xl84"/>
    <w:basedOn w:val="Normal"/>
    <w:rsid w:val="00AF7478"/>
    <w:pPr>
      <w:pBdr>
        <w:top w:val="single" w:color="auto" w:sz="8" w:space="0"/>
        <w:left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lang w:eastAsia="es-CO"/>
    </w:rPr>
  </w:style>
  <w:style w:type="paragraph" w:styleId="xl85" w:customStyle="1">
    <w:name w:val="xl85"/>
    <w:basedOn w:val="Normal"/>
    <w:rsid w:val="00AF7478"/>
    <w:pPr>
      <w:pBdr>
        <w:left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lang w:eastAsia="es-CO"/>
    </w:rPr>
  </w:style>
  <w:style w:type="paragraph" w:styleId="xl86" w:customStyle="1">
    <w:name w:val="xl86"/>
    <w:basedOn w:val="Normal"/>
    <w:rsid w:val="00AF7478"/>
    <w:pPr>
      <w:pBdr>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lang w:eastAsia="es-CO"/>
    </w:rPr>
  </w:style>
  <w:style w:type="paragraph" w:styleId="xl87" w:customStyle="1">
    <w:name w:val="xl87"/>
    <w:basedOn w:val="Normal"/>
    <w:rsid w:val="00AF7478"/>
    <w:pPr>
      <w:pBdr>
        <w:bottom w:val="single" w:color="auto" w:sz="8" w:space="0"/>
        <w:right w:val="single" w:color="auto" w:sz="8" w:space="0"/>
      </w:pBdr>
      <w:shd w:val="clear" w:color="000000" w:fill="FFFF00"/>
      <w:spacing w:before="100" w:beforeAutospacing="1" w:after="100" w:afterAutospacing="1" w:line="240" w:lineRule="auto"/>
      <w:textAlignment w:val="center"/>
    </w:pPr>
    <w:rPr>
      <w:rFonts w:ascii="Times New Roman" w:hAnsi="Times New Roman" w:eastAsia="Times New Roman" w:cs="Times New Roman"/>
      <w:lang w:eastAsia="es-CO"/>
    </w:rPr>
  </w:style>
  <w:style w:type="paragraph" w:styleId="xl88" w:customStyle="1">
    <w:name w:val="xl88"/>
    <w:basedOn w:val="Normal"/>
    <w:rsid w:val="00AF7478"/>
    <w:pPr>
      <w:pBdr>
        <w:top w:val="single" w:color="auto" w:sz="8" w:space="0"/>
        <w:left w:val="single" w:color="auto" w:sz="8" w:space="0"/>
        <w:right w:val="single" w:color="auto" w:sz="8" w:space="0"/>
      </w:pBdr>
      <w:shd w:val="clear" w:color="000000" w:fill="FFFF00"/>
      <w:spacing w:before="100" w:beforeAutospacing="1" w:after="100" w:afterAutospacing="1" w:line="240" w:lineRule="auto"/>
      <w:textAlignment w:val="center"/>
    </w:pPr>
    <w:rPr>
      <w:rFonts w:ascii="Times New Roman" w:hAnsi="Times New Roman" w:eastAsia="Times New Roman" w:cs="Times New Roman"/>
      <w:lang w:eastAsia="es-CO"/>
    </w:rPr>
  </w:style>
  <w:style w:type="paragraph" w:styleId="xl89" w:customStyle="1">
    <w:name w:val="xl89"/>
    <w:basedOn w:val="Normal"/>
    <w:rsid w:val="00AF7478"/>
    <w:pPr>
      <w:pBdr>
        <w:left w:val="single" w:color="auto" w:sz="8" w:space="0"/>
        <w:right w:val="single" w:color="auto" w:sz="8" w:space="0"/>
      </w:pBdr>
      <w:shd w:val="clear" w:color="000000" w:fill="FFFF00"/>
      <w:spacing w:before="100" w:beforeAutospacing="1" w:after="100" w:afterAutospacing="1" w:line="240" w:lineRule="auto"/>
      <w:textAlignment w:val="center"/>
    </w:pPr>
    <w:rPr>
      <w:rFonts w:ascii="Times New Roman" w:hAnsi="Times New Roman" w:eastAsia="Times New Roman" w:cs="Times New Roman"/>
      <w:lang w:eastAsia="es-CO"/>
    </w:rPr>
  </w:style>
  <w:style w:type="paragraph" w:styleId="xl90" w:customStyle="1">
    <w:name w:val="xl90"/>
    <w:basedOn w:val="Normal"/>
    <w:rsid w:val="00AF7478"/>
    <w:pPr>
      <w:pBdr>
        <w:left w:val="single" w:color="auto" w:sz="8" w:space="0"/>
        <w:bottom w:val="single" w:color="auto" w:sz="8" w:space="0"/>
        <w:right w:val="single" w:color="auto" w:sz="8" w:space="0"/>
      </w:pBdr>
      <w:shd w:val="clear" w:color="000000" w:fill="FFFF00"/>
      <w:spacing w:before="100" w:beforeAutospacing="1" w:after="100" w:afterAutospacing="1" w:line="240" w:lineRule="auto"/>
      <w:textAlignment w:val="center"/>
    </w:pPr>
    <w:rPr>
      <w:rFonts w:ascii="Times New Roman" w:hAnsi="Times New Roman" w:eastAsia="Times New Roman" w:cs="Times New Roman"/>
      <w:lang w:eastAsia="es-CO"/>
    </w:rPr>
  </w:style>
  <w:style w:type="paragraph" w:styleId="xl91" w:customStyle="1">
    <w:name w:val="xl91"/>
    <w:basedOn w:val="Normal"/>
    <w:rsid w:val="00AF7478"/>
    <w:pPr>
      <w:pBdr>
        <w:top w:val="single" w:color="auto" w:sz="8" w:space="0"/>
        <w:left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lang w:eastAsia="es-CO"/>
    </w:rPr>
  </w:style>
  <w:style w:type="paragraph" w:styleId="xl92" w:customStyle="1">
    <w:name w:val="xl92"/>
    <w:basedOn w:val="Normal"/>
    <w:rsid w:val="00AF7478"/>
    <w:pPr>
      <w:pBdr>
        <w:left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lang w:eastAsia="es-CO"/>
    </w:rPr>
  </w:style>
  <w:style w:type="paragraph" w:styleId="xl93" w:customStyle="1">
    <w:name w:val="xl93"/>
    <w:basedOn w:val="Normal"/>
    <w:rsid w:val="00AF7478"/>
    <w:pPr>
      <w:pBdr>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lang w:eastAsia="es-CO"/>
    </w:rPr>
  </w:style>
  <w:style w:type="paragraph" w:styleId="xl94" w:customStyle="1">
    <w:name w:val="xl94"/>
    <w:basedOn w:val="Normal"/>
    <w:rsid w:val="00AF7478"/>
    <w:pPr>
      <w:pBdr>
        <w:top w:val="single" w:color="auto" w:sz="8" w:space="0"/>
        <w:left w:val="single" w:color="auto" w:sz="8" w:space="0"/>
        <w:right w:val="single" w:color="auto" w:sz="8"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lang w:eastAsia="es-CO"/>
    </w:rPr>
  </w:style>
  <w:style w:type="paragraph" w:styleId="xl95" w:customStyle="1">
    <w:name w:val="xl95"/>
    <w:basedOn w:val="Normal"/>
    <w:rsid w:val="00AF7478"/>
    <w:pPr>
      <w:pBdr>
        <w:left w:val="single" w:color="auto" w:sz="8" w:space="0"/>
        <w:right w:val="single" w:color="auto" w:sz="8"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lang w:eastAsia="es-CO"/>
    </w:rPr>
  </w:style>
  <w:style w:type="paragraph" w:styleId="xl96" w:customStyle="1">
    <w:name w:val="xl96"/>
    <w:basedOn w:val="Normal"/>
    <w:rsid w:val="00AF7478"/>
    <w:pPr>
      <w:pBdr>
        <w:left w:val="single" w:color="auto" w:sz="8" w:space="0"/>
        <w:bottom w:val="single" w:color="auto" w:sz="8" w:space="0"/>
        <w:right w:val="single" w:color="auto" w:sz="8"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lang w:eastAsia="es-CO"/>
    </w:rPr>
  </w:style>
  <w:style w:type="paragraph" w:styleId="Cuerpodetexto" w:customStyle="1">
    <w:name w:val="Cuerpo de texto"/>
    <w:basedOn w:val="Normal"/>
    <w:link w:val="CuerpodetextoCar1"/>
    <w:qFormat/>
    <w:rsid w:val="00AF7478"/>
    <w:pPr>
      <w:autoSpaceDE w:val="0"/>
      <w:autoSpaceDN w:val="0"/>
      <w:adjustRightInd w:val="0"/>
      <w:spacing w:after="0" w:line="288" w:lineRule="auto"/>
      <w:ind w:firstLine="567"/>
      <w:jc w:val="both"/>
      <w:textAlignment w:val="center"/>
    </w:pPr>
    <w:rPr>
      <w:rFonts w:ascii="Arial" w:hAnsi="Arial" w:eastAsia="Lucida Sans Unicode" w:cs="Humnst777 Lt BT"/>
      <w:sz w:val="22"/>
      <w:szCs w:val="22"/>
      <w:lang w:val="es-ES" w:eastAsia="es-ES"/>
    </w:rPr>
  </w:style>
  <w:style w:type="character" w:styleId="CuerpodetextoCar1" w:customStyle="1">
    <w:name w:val="Cuerpo de texto Car1"/>
    <w:link w:val="Cuerpodetexto"/>
    <w:rsid w:val="00AF7478"/>
    <w:rPr>
      <w:rFonts w:ascii="Arial" w:hAnsi="Arial" w:eastAsia="Lucida Sans Unicode" w:cs="Humnst777 Lt BT"/>
      <w:kern w:val="0"/>
      <w:lang w:val="es-ES" w:eastAsia="es-ES"/>
      <w14:ligatures w14:val="none"/>
    </w:rPr>
  </w:style>
  <w:style w:type="paragraph" w:styleId="Sangra2detindependiente">
    <w:name w:val="Body Text Indent 2"/>
    <w:basedOn w:val="Normal"/>
    <w:link w:val="Sangra2detindependienteCar"/>
    <w:uiPriority w:val="99"/>
    <w:unhideWhenUsed/>
    <w:rsid w:val="00AF7478"/>
    <w:pPr>
      <w:spacing w:after="0" w:line="276" w:lineRule="auto"/>
      <w:ind w:left="142"/>
      <w:jc w:val="both"/>
    </w:pPr>
    <w:rPr>
      <w:rFonts w:ascii="Arial Narrow" w:hAnsi="Arial Narrow" w:eastAsia="Calibri" w:cs="Times New Roman"/>
      <w:sz w:val="24"/>
      <w:szCs w:val="24"/>
    </w:rPr>
  </w:style>
  <w:style w:type="character" w:styleId="Sangra2detindependienteCar" w:customStyle="1">
    <w:name w:val="Sangría 2 de t. independiente Car"/>
    <w:basedOn w:val="Fuentedeprrafopredeter"/>
    <w:link w:val="Sangra2detindependiente"/>
    <w:uiPriority w:val="99"/>
    <w:rsid w:val="00AF7478"/>
    <w:rPr>
      <w:rFonts w:ascii="Arial Narrow" w:hAnsi="Arial Narrow" w:eastAsia="Calibri" w:cs="Times New Roman"/>
      <w:kern w:val="0"/>
      <w:sz w:val="24"/>
      <w:szCs w:val="24"/>
      <w14:ligatures w14:val="none"/>
    </w:rPr>
  </w:style>
  <w:style w:type="paragraph" w:styleId="Continuarlista2">
    <w:name w:val="List Continue 2"/>
    <w:basedOn w:val="Normal"/>
    <w:uiPriority w:val="99"/>
    <w:unhideWhenUsed/>
    <w:rsid w:val="00AF7478"/>
    <w:pPr>
      <w:spacing w:line="276" w:lineRule="auto"/>
      <w:ind w:left="566"/>
      <w:contextualSpacing/>
    </w:pPr>
    <w:rPr>
      <w:rFonts w:ascii="Calibri" w:hAnsi="Calibri" w:eastAsia="Calibri" w:cs="Times New Roman"/>
      <w:sz w:val="22"/>
      <w:szCs w:val="22"/>
      <w:lang w:val="es-ES"/>
    </w:rPr>
  </w:style>
  <w:style w:type="paragraph" w:styleId="Paramos" w:customStyle="1">
    <w:name w:val="Paramos"/>
    <w:basedOn w:val="Default"/>
    <w:link w:val="ParamosCar"/>
    <w:qFormat/>
    <w:rsid w:val="00AF7478"/>
    <w:pPr>
      <w:spacing w:line="276" w:lineRule="auto"/>
      <w:jc w:val="both"/>
    </w:pPr>
    <w:rPr>
      <w:rFonts w:ascii="Times New Roman" w:hAnsi="Times New Roman" w:eastAsia="Calibri" w:cs="Times New Roman"/>
      <w:color w:val="auto"/>
      <w:sz w:val="22"/>
      <w:szCs w:val="22"/>
    </w:rPr>
  </w:style>
  <w:style w:type="character" w:styleId="ParamosCar" w:customStyle="1">
    <w:name w:val="Paramos Car"/>
    <w:link w:val="Paramos"/>
    <w:rsid w:val="00AF7478"/>
    <w:rPr>
      <w:rFonts w:ascii="Times New Roman" w:hAnsi="Times New Roman" w:eastAsia="Calibri" w:cs="Times New Roman"/>
      <w:kern w:val="0"/>
      <w14:ligatures w14:val="none"/>
    </w:rPr>
  </w:style>
  <w:style w:type="paragraph" w:styleId="Continuarlista">
    <w:name w:val="List Continue"/>
    <w:basedOn w:val="Normal"/>
    <w:uiPriority w:val="99"/>
    <w:unhideWhenUsed/>
    <w:rsid w:val="00AF7478"/>
    <w:pPr>
      <w:spacing w:line="259" w:lineRule="auto"/>
      <w:ind w:left="283"/>
      <w:contextualSpacing/>
    </w:pPr>
    <w:rPr>
      <w:rFonts w:ascii="Calibri" w:hAnsi="Calibri" w:eastAsia="Calibri" w:cs="Times New Roman"/>
      <w:sz w:val="22"/>
      <w:szCs w:val="22"/>
    </w:rPr>
  </w:style>
  <w:style w:type="paragraph" w:styleId="Standard" w:customStyle="1">
    <w:name w:val="Standard"/>
    <w:rsid w:val="00AF7478"/>
    <w:pPr>
      <w:widowControl w:val="0"/>
      <w:suppressAutoHyphens/>
      <w:autoSpaceDN w:val="0"/>
      <w:spacing w:after="0" w:line="240" w:lineRule="auto"/>
      <w:textAlignment w:val="baseline"/>
    </w:pPr>
    <w:rPr>
      <w:rFonts w:ascii="Liberation Serif" w:hAnsi="Liberation Serif" w:eastAsia="DejaVu Sans" w:cs="Lohit Hindi"/>
      <w:kern w:val="3"/>
      <w:sz w:val="24"/>
      <w:szCs w:val="24"/>
      <w:lang w:eastAsia="zh-CN" w:bidi="hi-IN"/>
      <w14:ligatures w14:val="none"/>
    </w:rPr>
  </w:style>
  <w:style w:type="table" w:styleId="Sombreadomedio1-nfasis11" w:customStyle="1">
    <w:name w:val="Sombreado medio 1 - Énfasis 11"/>
    <w:basedOn w:val="Tablanormal"/>
    <w:uiPriority w:val="63"/>
    <w:rsid w:val="00AF7478"/>
    <w:pPr>
      <w:spacing w:after="0" w:line="240" w:lineRule="auto"/>
    </w:pPr>
    <w:rPr>
      <w:rFonts w:ascii="Arial" w:hAnsi="Arial"/>
      <w:kern w:val="0"/>
      <w:sz w:val="24"/>
      <w14:ligatures w14:val="none"/>
    </w:rPr>
    <w:tblPr>
      <w:tblStyleRowBandSize w:val="1"/>
      <w:tblStyleColBandSize w:val="1"/>
      <w:tblBorders>
        <w:top w:val="single" w:color="7295D2" w:themeColor="accent1" w:themeTint="BF" w:sz="8" w:space="0"/>
        <w:left w:val="single" w:color="7295D2" w:themeColor="accent1" w:themeTint="BF" w:sz="8" w:space="0"/>
        <w:bottom w:val="single" w:color="7295D2" w:themeColor="accent1" w:themeTint="BF" w:sz="8" w:space="0"/>
        <w:right w:val="single" w:color="7295D2" w:themeColor="accent1" w:themeTint="BF" w:sz="8" w:space="0"/>
        <w:insideH w:val="single" w:color="7295D2" w:themeColor="accent1" w:themeTint="BF" w:sz="8" w:space="0"/>
      </w:tblBorders>
    </w:tblPr>
    <w:tblStylePr w:type="firstRow">
      <w:pPr>
        <w:spacing w:before="0" w:after="0" w:line="240" w:lineRule="auto"/>
      </w:pPr>
      <w:rPr>
        <w:b/>
        <w:bCs/>
        <w:color w:val="FFFFFF" w:themeColor="background1"/>
      </w:rPr>
      <w:tblPr/>
      <w:tcPr>
        <w:tcBorders>
          <w:top w:val="single" w:color="7295D2" w:themeColor="accent1" w:themeTint="BF" w:sz="8" w:space="0"/>
          <w:left w:val="single" w:color="7295D2" w:themeColor="accent1" w:themeTint="BF" w:sz="8" w:space="0"/>
          <w:bottom w:val="single" w:color="7295D2" w:themeColor="accent1" w:themeTint="BF" w:sz="8" w:space="0"/>
          <w:right w:val="single" w:color="7295D2" w:themeColor="accent1" w:themeTint="BF" w:sz="8" w:space="0"/>
          <w:insideH w:val="nil"/>
          <w:insideV w:val="nil"/>
        </w:tcBorders>
        <w:shd w:val="clear" w:color="auto" w:fill="4472C4" w:themeFill="accent1"/>
      </w:tcPr>
    </w:tblStylePr>
    <w:tblStylePr w:type="lastRow">
      <w:pPr>
        <w:spacing w:before="0" w:after="0" w:line="240" w:lineRule="auto"/>
      </w:pPr>
      <w:rPr>
        <w:b/>
        <w:bCs/>
      </w:rPr>
      <w:tblPr/>
      <w:tcPr>
        <w:tcBorders>
          <w:top w:val="double" w:color="7295D2" w:themeColor="accent1" w:themeTint="BF" w:sz="6" w:space="0"/>
          <w:left w:val="single" w:color="7295D2" w:themeColor="accent1" w:themeTint="BF" w:sz="8" w:space="0"/>
          <w:bottom w:val="single" w:color="7295D2" w:themeColor="accent1" w:themeTint="BF" w:sz="8" w:space="0"/>
          <w:right w:val="single" w:color="7295D2"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Tablanormal21" w:customStyle="1">
    <w:name w:val="Tabla normal 21"/>
    <w:basedOn w:val="Tablanormal"/>
    <w:uiPriority w:val="99"/>
    <w:rsid w:val="00AF7478"/>
    <w:pPr>
      <w:spacing w:after="0" w:line="240" w:lineRule="auto"/>
    </w:pPr>
    <w:rPr>
      <w:kern w:val="0"/>
      <w14:ligatures w14:val="none"/>
    </w:r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paragraph" w:styleId="titulo2" w:customStyle="1">
    <w:name w:val="titulo2"/>
    <w:basedOn w:val="Normal"/>
    <w:autoRedefine/>
    <w:rsid w:val="00AF7478"/>
    <w:pPr>
      <w:spacing w:before="100" w:beforeAutospacing="1" w:after="100" w:afterAutospacing="1" w:line="240" w:lineRule="auto"/>
    </w:pPr>
    <w:rPr>
      <w:rFonts w:ascii="Calibri" w:hAnsi="Calibri" w:eastAsia="Times New Roman" w:cs="Times New Roman"/>
      <w:b/>
      <w:sz w:val="28"/>
      <w:szCs w:val="24"/>
      <w:lang w:val="es-ES" w:eastAsia="es-CO"/>
    </w:rPr>
  </w:style>
  <w:style w:type="character" w:styleId="whitespace-normal" w:customStyle="1">
    <w:name w:val="whitespace-normal"/>
    <w:basedOn w:val="Fuentedeprrafopredeter"/>
    <w:rsid w:val="00B652D0"/>
  </w:style>
  <w:style w:type="character" w:styleId="esrilegendservicelabel" w:customStyle="1">
    <w:name w:val="esrilegendservicelabel"/>
    <w:basedOn w:val="Fuentedeprrafopredeter"/>
    <w:rsid w:val="00A41BEF"/>
  </w:style>
  <w:style w:type="table" w:styleId="Tabladelista1clara-nfasis3">
    <w:name w:val="List Table 1 Light Accent 3"/>
    <w:basedOn w:val="Tablanormal"/>
    <w:uiPriority w:val="46"/>
    <w:rsid w:val="0030375E"/>
    <w:pPr>
      <w:spacing w:after="0" w:line="240" w:lineRule="auto"/>
    </w:pPr>
    <w:rPr>
      <w:kern w:val="0"/>
      <w14:ligatures w14:val="none"/>
    </w:rPr>
    <w:tblPr>
      <w:tblStyleRowBandSize w:val="1"/>
      <w:tblStyleColBandSize w:val="1"/>
    </w:tblPr>
    <w:tblStylePr w:type="firstRow">
      <w:rPr>
        <w:b/>
        <w:bCs/>
      </w:rPr>
      <w:tblPr/>
      <w:tcPr>
        <w:tcBorders>
          <w:bottom w:val="single" w:color="C9C9C9" w:themeColor="accent3" w:themeTint="99" w:sz="4" w:space="0"/>
        </w:tcBorders>
      </w:tcPr>
    </w:tblStylePr>
    <w:tblStylePr w:type="lastRow">
      <w:rPr>
        <w:b/>
        <w:bCs/>
      </w:rPr>
      <w:tblPr/>
      <w:tcPr>
        <w:tcBorders>
          <w:top w:val="single" w:color="C9C9C9" w:themeColor="accent3" w:themeTint="99"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Estilo1" w:customStyle="1">
    <w:name w:val="Estilo1"/>
    <w:basedOn w:val="Prrafodelista"/>
    <w:link w:val="Estilo1Car"/>
    <w:qFormat/>
    <w:rsid w:val="00C75E01"/>
    <w:pPr>
      <w:numPr>
        <w:numId w:val="14"/>
      </w:numPr>
      <w:jc w:val="both"/>
    </w:pPr>
    <w:rPr>
      <w:rFonts w:ascii="Verdana" w:hAnsi="Verdana"/>
      <w:b/>
      <w:bCs/>
      <w:sz w:val="22"/>
      <w:szCs w:val="22"/>
    </w:rPr>
  </w:style>
  <w:style w:type="paragraph" w:styleId="Estilo3" w:customStyle="1">
    <w:name w:val="Estilo3"/>
    <w:basedOn w:val="Ttulo1"/>
    <w:next w:val="Ttulo1"/>
    <w:link w:val="Estilo3Car"/>
    <w:qFormat/>
    <w:rsid w:val="00C75E01"/>
    <w:pPr>
      <w:numPr>
        <w:numId w:val="14"/>
      </w:numPr>
    </w:pPr>
    <w:rPr>
      <w:rFonts w:ascii="Verdana" w:hAnsi="Verdana"/>
      <w:color w:val="000000" w:themeColor="text1"/>
      <w:sz w:val="22"/>
    </w:rPr>
  </w:style>
  <w:style w:type="character" w:styleId="Estilo1Car" w:customStyle="1">
    <w:name w:val="Estilo1 Car"/>
    <w:basedOn w:val="PrrafodelistaCar"/>
    <w:link w:val="Estilo1"/>
    <w:rsid w:val="00C75E01"/>
    <w:rPr>
      <w:rFonts w:ascii="Verdana" w:hAnsi="Verdana" w:eastAsiaTheme="minorEastAsia"/>
      <w:b/>
      <w:bCs/>
      <w:kern w:val="0"/>
      <w:lang w:val="en-US"/>
      <w14:ligatures w14:val="none"/>
    </w:rPr>
  </w:style>
  <w:style w:type="paragraph" w:styleId="Estilo4" w:customStyle="1">
    <w:name w:val="Estilo4"/>
    <w:basedOn w:val="Ttulo2"/>
    <w:link w:val="Estilo4Car"/>
    <w:qFormat/>
    <w:rsid w:val="00C75E01"/>
    <w:pPr>
      <w:numPr>
        <w:ilvl w:val="1"/>
        <w:numId w:val="14"/>
      </w:numPr>
      <w:jc w:val="both"/>
    </w:pPr>
    <w:rPr>
      <w:rFonts w:ascii="Verdana" w:hAnsi="Verdana"/>
      <w:b/>
      <w:bCs/>
      <w:sz w:val="22"/>
      <w:szCs w:val="22"/>
    </w:rPr>
  </w:style>
  <w:style w:type="character" w:styleId="Estilo3Car" w:customStyle="1">
    <w:name w:val="Estilo3 Car"/>
    <w:basedOn w:val="Ttulo1Car"/>
    <w:link w:val="Estilo3"/>
    <w:rsid w:val="00C75E01"/>
    <w:rPr>
      <w:rFonts w:ascii="Verdana" w:hAnsi="Verdana" w:eastAsiaTheme="majorEastAsia" w:cstheme="majorBidi"/>
      <w:color w:val="000000" w:themeColor="text1"/>
      <w:kern w:val="0"/>
      <w:sz w:val="32"/>
      <w:szCs w:val="32"/>
      <w14:ligatures w14:val="none"/>
    </w:rPr>
  </w:style>
  <w:style w:type="paragraph" w:styleId="Estilo5" w:customStyle="1">
    <w:name w:val="Estilo5"/>
    <w:basedOn w:val="Prrafodelista"/>
    <w:next w:val="Ttulo3"/>
    <w:link w:val="Estilo5Car"/>
    <w:qFormat/>
    <w:rsid w:val="00C75E01"/>
    <w:pPr>
      <w:numPr>
        <w:ilvl w:val="2"/>
        <w:numId w:val="14"/>
      </w:numPr>
      <w:jc w:val="both"/>
    </w:pPr>
    <w:rPr>
      <w:rFonts w:ascii="Verdana" w:hAnsi="Verdana"/>
      <w:b/>
      <w:bCs/>
      <w:sz w:val="22"/>
      <w:szCs w:val="22"/>
    </w:rPr>
  </w:style>
  <w:style w:type="character" w:styleId="Estilo4Car" w:customStyle="1">
    <w:name w:val="Estilo4 Car"/>
    <w:basedOn w:val="Ttulo2Car"/>
    <w:link w:val="Estilo4"/>
    <w:rsid w:val="00C75E01"/>
    <w:rPr>
      <w:rFonts w:ascii="Verdana" w:hAnsi="Verdana" w:eastAsiaTheme="majorEastAsia" w:cstheme="majorBidi"/>
      <w:b/>
      <w:bCs/>
      <w:color w:val="404040" w:themeColor="text1" w:themeTint="BF"/>
      <w:kern w:val="0"/>
      <w:sz w:val="28"/>
      <w:szCs w:val="28"/>
      <w14:ligatures w14:val="none"/>
    </w:rPr>
  </w:style>
  <w:style w:type="paragraph" w:styleId="TDC4">
    <w:name w:val="toc 4"/>
    <w:basedOn w:val="Normal"/>
    <w:next w:val="Normal"/>
    <w:autoRedefine/>
    <w:uiPriority w:val="39"/>
    <w:unhideWhenUsed/>
    <w:rsid w:val="00B6371E"/>
    <w:pPr>
      <w:spacing w:after="0"/>
      <w:ind w:left="600"/>
    </w:pPr>
    <w:rPr>
      <w:sz w:val="18"/>
      <w:szCs w:val="18"/>
    </w:rPr>
  </w:style>
  <w:style w:type="character" w:styleId="Estilo5Car" w:customStyle="1">
    <w:name w:val="Estilo5 Car"/>
    <w:basedOn w:val="PrrafodelistaCar"/>
    <w:link w:val="Estilo5"/>
    <w:rsid w:val="00C75E01"/>
    <w:rPr>
      <w:rFonts w:ascii="Verdana" w:hAnsi="Verdana" w:eastAsiaTheme="minorEastAsia"/>
      <w:b/>
      <w:bCs/>
      <w:kern w:val="0"/>
      <w:lang w:val="en-US"/>
      <w14:ligatures w14:val="none"/>
    </w:rPr>
  </w:style>
  <w:style w:type="paragraph" w:styleId="TDC5">
    <w:name w:val="toc 5"/>
    <w:basedOn w:val="Normal"/>
    <w:next w:val="Normal"/>
    <w:autoRedefine/>
    <w:uiPriority w:val="39"/>
    <w:unhideWhenUsed/>
    <w:rsid w:val="00B6371E"/>
    <w:pPr>
      <w:spacing w:after="0"/>
      <w:ind w:left="800"/>
    </w:pPr>
    <w:rPr>
      <w:sz w:val="18"/>
      <w:szCs w:val="18"/>
    </w:rPr>
  </w:style>
  <w:style w:type="paragraph" w:styleId="TDC6">
    <w:name w:val="toc 6"/>
    <w:basedOn w:val="Normal"/>
    <w:next w:val="Normal"/>
    <w:autoRedefine/>
    <w:uiPriority w:val="39"/>
    <w:unhideWhenUsed/>
    <w:rsid w:val="00B6371E"/>
    <w:pPr>
      <w:spacing w:after="0"/>
      <w:ind w:left="1000"/>
    </w:pPr>
    <w:rPr>
      <w:sz w:val="18"/>
      <w:szCs w:val="18"/>
    </w:rPr>
  </w:style>
  <w:style w:type="paragraph" w:styleId="TDC7">
    <w:name w:val="toc 7"/>
    <w:basedOn w:val="Normal"/>
    <w:next w:val="Normal"/>
    <w:autoRedefine/>
    <w:uiPriority w:val="39"/>
    <w:unhideWhenUsed/>
    <w:rsid w:val="00B6371E"/>
    <w:pPr>
      <w:spacing w:after="0"/>
      <w:ind w:left="1200"/>
    </w:pPr>
    <w:rPr>
      <w:sz w:val="18"/>
      <w:szCs w:val="18"/>
    </w:rPr>
  </w:style>
  <w:style w:type="paragraph" w:styleId="TDC8">
    <w:name w:val="toc 8"/>
    <w:basedOn w:val="Normal"/>
    <w:next w:val="Normal"/>
    <w:autoRedefine/>
    <w:uiPriority w:val="39"/>
    <w:unhideWhenUsed/>
    <w:rsid w:val="00B6371E"/>
    <w:pPr>
      <w:spacing w:after="0"/>
      <w:ind w:left="1400"/>
    </w:pPr>
    <w:rPr>
      <w:sz w:val="18"/>
      <w:szCs w:val="18"/>
    </w:rPr>
  </w:style>
  <w:style w:type="paragraph" w:styleId="TDC9">
    <w:name w:val="toc 9"/>
    <w:basedOn w:val="Normal"/>
    <w:next w:val="Normal"/>
    <w:autoRedefine/>
    <w:uiPriority w:val="39"/>
    <w:unhideWhenUsed/>
    <w:rsid w:val="00B6371E"/>
    <w:pPr>
      <w:spacing w:after="0"/>
      <w:ind w:left="1600"/>
    </w:pPr>
    <w:rPr>
      <w:sz w:val="18"/>
      <w:szCs w:val="18"/>
    </w:rPr>
  </w:style>
  <w:style w:type="character" w:styleId="TabladeilustracionesCar" w:customStyle="1">
    <w:name w:val="Tabla de ilustraciones Car"/>
    <w:basedOn w:val="Fuentedeprrafopredeter"/>
    <w:link w:val="Tabladeilustraciones"/>
    <w:uiPriority w:val="99"/>
    <w:rsid w:val="0052768E"/>
    <w:rPr>
      <w:rFonts w:eastAsiaTheme="minorEastAsia"/>
      <w:b/>
      <w:bCs/>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977820">
      <w:bodyDiv w:val="1"/>
      <w:marLeft w:val="0"/>
      <w:marRight w:val="0"/>
      <w:marTop w:val="0"/>
      <w:marBottom w:val="0"/>
      <w:divBdr>
        <w:top w:val="none" w:sz="0" w:space="0" w:color="auto"/>
        <w:left w:val="none" w:sz="0" w:space="0" w:color="auto"/>
        <w:bottom w:val="none" w:sz="0" w:space="0" w:color="auto"/>
        <w:right w:val="none" w:sz="0" w:space="0" w:color="auto"/>
      </w:divBdr>
      <w:divsChild>
        <w:div w:id="1509634675">
          <w:marLeft w:val="0"/>
          <w:marRight w:val="0"/>
          <w:marTop w:val="0"/>
          <w:marBottom w:val="0"/>
          <w:divBdr>
            <w:top w:val="none" w:sz="0" w:space="0" w:color="auto"/>
            <w:left w:val="none" w:sz="0" w:space="0" w:color="auto"/>
            <w:bottom w:val="none" w:sz="0" w:space="0" w:color="auto"/>
            <w:right w:val="none" w:sz="0" w:space="0" w:color="auto"/>
          </w:divBdr>
        </w:div>
      </w:divsChild>
    </w:div>
    <w:div w:id="120391000">
      <w:bodyDiv w:val="1"/>
      <w:marLeft w:val="0"/>
      <w:marRight w:val="0"/>
      <w:marTop w:val="0"/>
      <w:marBottom w:val="0"/>
      <w:divBdr>
        <w:top w:val="none" w:sz="0" w:space="0" w:color="auto"/>
        <w:left w:val="none" w:sz="0" w:space="0" w:color="auto"/>
        <w:bottom w:val="none" w:sz="0" w:space="0" w:color="auto"/>
        <w:right w:val="none" w:sz="0" w:space="0" w:color="auto"/>
      </w:divBdr>
      <w:divsChild>
        <w:div w:id="1841460102">
          <w:marLeft w:val="0"/>
          <w:marRight w:val="0"/>
          <w:marTop w:val="0"/>
          <w:marBottom w:val="0"/>
          <w:divBdr>
            <w:top w:val="none" w:sz="0" w:space="0" w:color="auto"/>
            <w:left w:val="none" w:sz="0" w:space="0" w:color="auto"/>
            <w:bottom w:val="none" w:sz="0" w:space="0" w:color="auto"/>
            <w:right w:val="none" w:sz="0" w:space="0" w:color="auto"/>
          </w:divBdr>
        </w:div>
        <w:div w:id="334497049">
          <w:marLeft w:val="0"/>
          <w:marRight w:val="0"/>
          <w:marTop w:val="0"/>
          <w:marBottom w:val="0"/>
          <w:divBdr>
            <w:top w:val="none" w:sz="0" w:space="0" w:color="auto"/>
            <w:left w:val="none" w:sz="0" w:space="0" w:color="auto"/>
            <w:bottom w:val="none" w:sz="0" w:space="0" w:color="auto"/>
            <w:right w:val="none" w:sz="0" w:space="0" w:color="auto"/>
          </w:divBdr>
        </w:div>
      </w:divsChild>
    </w:div>
    <w:div w:id="137455644">
      <w:bodyDiv w:val="1"/>
      <w:marLeft w:val="0"/>
      <w:marRight w:val="0"/>
      <w:marTop w:val="0"/>
      <w:marBottom w:val="0"/>
      <w:divBdr>
        <w:top w:val="none" w:sz="0" w:space="0" w:color="auto"/>
        <w:left w:val="none" w:sz="0" w:space="0" w:color="auto"/>
        <w:bottom w:val="none" w:sz="0" w:space="0" w:color="auto"/>
        <w:right w:val="none" w:sz="0" w:space="0" w:color="auto"/>
      </w:divBdr>
    </w:div>
    <w:div w:id="230889298">
      <w:bodyDiv w:val="1"/>
      <w:marLeft w:val="0"/>
      <w:marRight w:val="0"/>
      <w:marTop w:val="0"/>
      <w:marBottom w:val="0"/>
      <w:divBdr>
        <w:top w:val="none" w:sz="0" w:space="0" w:color="auto"/>
        <w:left w:val="none" w:sz="0" w:space="0" w:color="auto"/>
        <w:bottom w:val="none" w:sz="0" w:space="0" w:color="auto"/>
        <w:right w:val="none" w:sz="0" w:space="0" w:color="auto"/>
      </w:divBdr>
      <w:divsChild>
        <w:div w:id="103498845">
          <w:marLeft w:val="0"/>
          <w:marRight w:val="0"/>
          <w:marTop w:val="0"/>
          <w:marBottom w:val="0"/>
          <w:divBdr>
            <w:top w:val="none" w:sz="0" w:space="0" w:color="auto"/>
            <w:left w:val="none" w:sz="0" w:space="0" w:color="auto"/>
            <w:bottom w:val="none" w:sz="0" w:space="0" w:color="auto"/>
            <w:right w:val="none" w:sz="0" w:space="0" w:color="auto"/>
          </w:divBdr>
        </w:div>
        <w:div w:id="322205275">
          <w:marLeft w:val="0"/>
          <w:marRight w:val="0"/>
          <w:marTop w:val="0"/>
          <w:marBottom w:val="0"/>
          <w:divBdr>
            <w:top w:val="none" w:sz="0" w:space="0" w:color="auto"/>
            <w:left w:val="none" w:sz="0" w:space="0" w:color="auto"/>
            <w:bottom w:val="none" w:sz="0" w:space="0" w:color="auto"/>
            <w:right w:val="none" w:sz="0" w:space="0" w:color="auto"/>
          </w:divBdr>
        </w:div>
        <w:div w:id="351299594">
          <w:marLeft w:val="0"/>
          <w:marRight w:val="0"/>
          <w:marTop w:val="0"/>
          <w:marBottom w:val="0"/>
          <w:divBdr>
            <w:top w:val="none" w:sz="0" w:space="0" w:color="auto"/>
            <w:left w:val="none" w:sz="0" w:space="0" w:color="auto"/>
            <w:bottom w:val="none" w:sz="0" w:space="0" w:color="auto"/>
            <w:right w:val="none" w:sz="0" w:space="0" w:color="auto"/>
          </w:divBdr>
        </w:div>
        <w:div w:id="392434012">
          <w:marLeft w:val="0"/>
          <w:marRight w:val="0"/>
          <w:marTop w:val="0"/>
          <w:marBottom w:val="0"/>
          <w:divBdr>
            <w:top w:val="none" w:sz="0" w:space="0" w:color="auto"/>
            <w:left w:val="none" w:sz="0" w:space="0" w:color="auto"/>
            <w:bottom w:val="none" w:sz="0" w:space="0" w:color="auto"/>
            <w:right w:val="none" w:sz="0" w:space="0" w:color="auto"/>
          </w:divBdr>
        </w:div>
        <w:div w:id="514923115">
          <w:marLeft w:val="0"/>
          <w:marRight w:val="0"/>
          <w:marTop w:val="0"/>
          <w:marBottom w:val="0"/>
          <w:divBdr>
            <w:top w:val="none" w:sz="0" w:space="0" w:color="auto"/>
            <w:left w:val="none" w:sz="0" w:space="0" w:color="auto"/>
            <w:bottom w:val="none" w:sz="0" w:space="0" w:color="auto"/>
            <w:right w:val="none" w:sz="0" w:space="0" w:color="auto"/>
          </w:divBdr>
        </w:div>
        <w:div w:id="623926582">
          <w:marLeft w:val="0"/>
          <w:marRight w:val="0"/>
          <w:marTop w:val="0"/>
          <w:marBottom w:val="0"/>
          <w:divBdr>
            <w:top w:val="none" w:sz="0" w:space="0" w:color="auto"/>
            <w:left w:val="none" w:sz="0" w:space="0" w:color="auto"/>
            <w:bottom w:val="none" w:sz="0" w:space="0" w:color="auto"/>
            <w:right w:val="none" w:sz="0" w:space="0" w:color="auto"/>
          </w:divBdr>
        </w:div>
        <w:div w:id="946304009">
          <w:marLeft w:val="0"/>
          <w:marRight w:val="0"/>
          <w:marTop w:val="0"/>
          <w:marBottom w:val="0"/>
          <w:divBdr>
            <w:top w:val="none" w:sz="0" w:space="0" w:color="auto"/>
            <w:left w:val="none" w:sz="0" w:space="0" w:color="auto"/>
            <w:bottom w:val="none" w:sz="0" w:space="0" w:color="auto"/>
            <w:right w:val="none" w:sz="0" w:space="0" w:color="auto"/>
          </w:divBdr>
        </w:div>
        <w:div w:id="1834103648">
          <w:marLeft w:val="0"/>
          <w:marRight w:val="0"/>
          <w:marTop w:val="0"/>
          <w:marBottom w:val="0"/>
          <w:divBdr>
            <w:top w:val="none" w:sz="0" w:space="0" w:color="auto"/>
            <w:left w:val="none" w:sz="0" w:space="0" w:color="auto"/>
            <w:bottom w:val="none" w:sz="0" w:space="0" w:color="auto"/>
            <w:right w:val="none" w:sz="0" w:space="0" w:color="auto"/>
          </w:divBdr>
        </w:div>
        <w:div w:id="2073574572">
          <w:marLeft w:val="0"/>
          <w:marRight w:val="0"/>
          <w:marTop w:val="0"/>
          <w:marBottom w:val="0"/>
          <w:divBdr>
            <w:top w:val="none" w:sz="0" w:space="0" w:color="auto"/>
            <w:left w:val="none" w:sz="0" w:space="0" w:color="auto"/>
            <w:bottom w:val="none" w:sz="0" w:space="0" w:color="auto"/>
            <w:right w:val="none" w:sz="0" w:space="0" w:color="auto"/>
          </w:divBdr>
        </w:div>
      </w:divsChild>
    </w:div>
    <w:div w:id="350299585">
      <w:bodyDiv w:val="1"/>
      <w:marLeft w:val="0"/>
      <w:marRight w:val="0"/>
      <w:marTop w:val="0"/>
      <w:marBottom w:val="0"/>
      <w:divBdr>
        <w:top w:val="none" w:sz="0" w:space="0" w:color="auto"/>
        <w:left w:val="none" w:sz="0" w:space="0" w:color="auto"/>
        <w:bottom w:val="none" w:sz="0" w:space="0" w:color="auto"/>
        <w:right w:val="none" w:sz="0" w:space="0" w:color="auto"/>
      </w:divBdr>
    </w:div>
    <w:div w:id="390733449">
      <w:bodyDiv w:val="1"/>
      <w:marLeft w:val="0"/>
      <w:marRight w:val="0"/>
      <w:marTop w:val="0"/>
      <w:marBottom w:val="0"/>
      <w:divBdr>
        <w:top w:val="none" w:sz="0" w:space="0" w:color="auto"/>
        <w:left w:val="none" w:sz="0" w:space="0" w:color="auto"/>
        <w:bottom w:val="none" w:sz="0" w:space="0" w:color="auto"/>
        <w:right w:val="none" w:sz="0" w:space="0" w:color="auto"/>
      </w:divBdr>
    </w:div>
    <w:div w:id="417869946">
      <w:bodyDiv w:val="1"/>
      <w:marLeft w:val="0"/>
      <w:marRight w:val="0"/>
      <w:marTop w:val="0"/>
      <w:marBottom w:val="0"/>
      <w:divBdr>
        <w:top w:val="none" w:sz="0" w:space="0" w:color="auto"/>
        <w:left w:val="none" w:sz="0" w:space="0" w:color="auto"/>
        <w:bottom w:val="none" w:sz="0" w:space="0" w:color="auto"/>
        <w:right w:val="none" w:sz="0" w:space="0" w:color="auto"/>
      </w:divBdr>
      <w:divsChild>
        <w:div w:id="1057045918">
          <w:marLeft w:val="0"/>
          <w:marRight w:val="0"/>
          <w:marTop w:val="0"/>
          <w:marBottom w:val="0"/>
          <w:divBdr>
            <w:top w:val="none" w:sz="0" w:space="0" w:color="auto"/>
            <w:left w:val="none" w:sz="0" w:space="0" w:color="auto"/>
            <w:bottom w:val="none" w:sz="0" w:space="0" w:color="auto"/>
            <w:right w:val="none" w:sz="0" w:space="0" w:color="auto"/>
          </w:divBdr>
        </w:div>
        <w:div w:id="1598489197">
          <w:marLeft w:val="0"/>
          <w:marRight w:val="0"/>
          <w:marTop w:val="0"/>
          <w:marBottom w:val="0"/>
          <w:divBdr>
            <w:top w:val="none" w:sz="0" w:space="0" w:color="auto"/>
            <w:left w:val="none" w:sz="0" w:space="0" w:color="auto"/>
            <w:bottom w:val="none" w:sz="0" w:space="0" w:color="auto"/>
            <w:right w:val="none" w:sz="0" w:space="0" w:color="auto"/>
          </w:divBdr>
        </w:div>
        <w:div w:id="1690329937">
          <w:marLeft w:val="0"/>
          <w:marRight w:val="0"/>
          <w:marTop w:val="0"/>
          <w:marBottom w:val="0"/>
          <w:divBdr>
            <w:top w:val="none" w:sz="0" w:space="0" w:color="auto"/>
            <w:left w:val="none" w:sz="0" w:space="0" w:color="auto"/>
            <w:bottom w:val="none" w:sz="0" w:space="0" w:color="auto"/>
            <w:right w:val="none" w:sz="0" w:space="0" w:color="auto"/>
          </w:divBdr>
        </w:div>
      </w:divsChild>
    </w:div>
    <w:div w:id="424964627">
      <w:bodyDiv w:val="1"/>
      <w:marLeft w:val="0"/>
      <w:marRight w:val="0"/>
      <w:marTop w:val="0"/>
      <w:marBottom w:val="0"/>
      <w:divBdr>
        <w:top w:val="none" w:sz="0" w:space="0" w:color="auto"/>
        <w:left w:val="none" w:sz="0" w:space="0" w:color="auto"/>
        <w:bottom w:val="none" w:sz="0" w:space="0" w:color="auto"/>
        <w:right w:val="none" w:sz="0" w:space="0" w:color="auto"/>
      </w:divBdr>
    </w:div>
    <w:div w:id="575162884">
      <w:bodyDiv w:val="1"/>
      <w:marLeft w:val="0"/>
      <w:marRight w:val="0"/>
      <w:marTop w:val="0"/>
      <w:marBottom w:val="0"/>
      <w:divBdr>
        <w:top w:val="none" w:sz="0" w:space="0" w:color="auto"/>
        <w:left w:val="none" w:sz="0" w:space="0" w:color="auto"/>
        <w:bottom w:val="none" w:sz="0" w:space="0" w:color="auto"/>
        <w:right w:val="none" w:sz="0" w:space="0" w:color="auto"/>
      </w:divBdr>
      <w:divsChild>
        <w:div w:id="535773697">
          <w:marLeft w:val="0"/>
          <w:marRight w:val="0"/>
          <w:marTop w:val="0"/>
          <w:marBottom w:val="0"/>
          <w:divBdr>
            <w:top w:val="none" w:sz="0" w:space="0" w:color="auto"/>
            <w:left w:val="none" w:sz="0" w:space="0" w:color="auto"/>
            <w:bottom w:val="none" w:sz="0" w:space="0" w:color="auto"/>
            <w:right w:val="none" w:sz="0" w:space="0" w:color="auto"/>
          </w:divBdr>
        </w:div>
        <w:div w:id="1045521029">
          <w:marLeft w:val="0"/>
          <w:marRight w:val="0"/>
          <w:marTop w:val="0"/>
          <w:marBottom w:val="0"/>
          <w:divBdr>
            <w:top w:val="none" w:sz="0" w:space="0" w:color="auto"/>
            <w:left w:val="none" w:sz="0" w:space="0" w:color="auto"/>
            <w:bottom w:val="none" w:sz="0" w:space="0" w:color="auto"/>
            <w:right w:val="none" w:sz="0" w:space="0" w:color="auto"/>
          </w:divBdr>
        </w:div>
        <w:div w:id="1928033866">
          <w:marLeft w:val="0"/>
          <w:marRight w:val="0"/>
          <w:marTop w:val="0"/>
          <w:marBottom w:val="0"/>
          <w:divBdr>
            <w:top w:val="none" w:sz="0" w:space="0" w:color="auto"/>
            <w:left w:val="none" w:sz="0" w:space="0" w:color="auto"/>
            <w:bottom w:val="none" w:sz="0" w:space="0" w:color="auto"/>
            <w:right w:val="none" w:sz="0" w:space="0" w:color="auto"/>
          </w:divBdr>
        </w:div>
      </w:divsChild>
    </w:div>
    <w:div w:id="674382807">
      <w:bodyDiv w:val="1"/>
      <w:marLeft w:val="0"/>
      <w:marRight w:val="0"/>
      <w:marTop w:val="0"/>
      <w:marBottom w:val="0"/>
      <w:divBdr>
        <w:top w:val="none" w:sz="0" w:space="0" w:color="auto"/>
        <w:left w:val="none" w:sz="0" w:space="0" w:color="auto"/>
        <w:bottom w:val="none" w:sz="0" w:space="0" w:color="auto"/>
        <w:right w:val="none" w:sz="0" w:space="0" w:color="auto"/>
      </w:divBdr>
    </w:div>
    <w:div w:id="826166727">
      <w:bodyDiv w:val="1"/>
      <w:marLeft w:val="0"/>
      <w:marRight w:val="0"/>
      <w:marTop w:val="0"/>
      <w:marBottom w:val="0"/>
      <w:divBdr>
        <w:top w:val="none" w:sz="0" w:space="0" w:color="auto"/>
        <w:left w:val="none" w:sz="0" w:space="0" w:color="auto"/>
        <w:bottom w:val="none" w:sz="0" w:space="0" w:color="auto"/>
        <w:right w:val="none" w:sz="0" w:space="0" w:color="auto"/>
      </w:divBdr>
      <w:divsChild>
        <w:div w:id="38939686">
          <w:marLeft w:val="0"/>
          <w:marRight w:val="0"/>
          <w:marTop w:val="0"/>
          <w:marBottom w:val="0"/>
          <w:divBdr>
            <w:top w:val="none" w:sz="0" w:space="0" w:color="auto"/>
            <w:left w:val="none" w:sz="0" w:space="0" w:color="auto"/>
            <w:bottom w:val="none" w:sz="0" w:space="0" w:color="auto"/>
            <w:right w:val="none" w:sz="0" w:space="0" w:color="auto"/>
          </w:divBdr>
        </w:div>
      </w:divsChild>
    </w:div>
    <w:div w:id="916402964">
      <w:bodyDiv w:val="1"/>
      <w:marLeft w:val="0"/>
      <w:marRight w:val="0"/>
      <w:marTop w:val="0"/>
      <w:marBottom w:val="0"/>
      <w:divBdr>
        <w:top w:val="none" w:sz="0" w:space="0" w:color="auto"/>
        <w:left w:val="none" w:sz="0" w:space="0" w:color="auto"/>
        <w:bottom w:val="none" w:sz="0" w:space="0" w:color="auto"/>
        <w:right w:val="none" w:sz="0" w:space="0" w:color="auto"/>
      </w:divBdr>
    </w:div>
    <w:div w:id="931164279">
      <w:bodyDiv w:val="1"/>
      <w:marLeft w:val="0"/>
      <w:marRight w:val="0"/>
      <w:marTop w:val="0"/>
      <w:marBottom w:val="0"/>
      <w:divBdr>
        <w:top w:val="none" w:sz="0" w:space="0" w:color="auto"/>
        <w:left w:val="none" w:sz="0" w:space="0" w:color="auto"/>
        <w:bottom w:val="none" w:sz="0" w:space="0" w:color="auto"/>
        <w:right w:val="none" w:sz="0" w:space="0" w:color="auto"/>
      </w:divBdr>
    </w:div>
    <w:div w:id="982008242">
      <w:bodyDiv w:val="1"/>
      <w:marLeft w:val="0"/>
      <w:marRight w:val="0"/>
      <w:marTop w:val="0"/>
      <w:marBottom w:val="0"/>
      <w:divBdr>
        <w:top w:val="none" w:sz="0" w:space="0" w:color="auto"/>
        <w:left w:val="none" w:sz="0" w:space="0" w:color="auto"/>
        <w:bottom w:val="none" w:sz="0" w:space="0" w:color="auto"/>
        <w:right w:val="none" w:sz="0" w:space="0" w:color="auto"/>
      </w:divBdr>
      <w:divsChild>
        <w:div w:id="252249686">
          <w:marLeft w:val="0"/>
          <w:marRight w:val="0"/>
          <w:marTop w:val="0"/>
          <w:marBottom w:val="0"/>
          <w:divBdr>
            <w:top w:val="none" w:sz="0" w:space="0" w:color="auto"/>
            <w:left w:val="none" w:sz="0" w:space="0" w:color="auto"/>
            <w:bottom w:val="none" w:sz="0" w:space="0" w:color="auto"/>
            <w:right w:val="none" w:sz="0" w:space="0" w:color="auto"/>
          </w:divBdr>
        </w:div>
        <w:div w:id="453522540">
          <w:marLeft w:val="0"/>
          <w:marRight w:val="0"/>
          <w:marTop w:val="0"/>
          <w:marBottom w:val="0"/>
          <w:divBdr>
            <w:top w:val="none" w:sz="0" w:space="0" w:color="auto"/>
            <w:left w:val="none" w:sz="0" w:space="0" w:color="auto"/>
            <w:bottom w:val="none" w:sz="0" w:space="0" w:color="auto"/>
            <w:right w:val="none" w:sz="0" w:space="0" w:color="auto"/>
          </w:divBdr>
        </w:div>
        <w:div w:id="442191865">
          <w:marLeft w:val="0"/>
          <w:marRight w:val="0"/>
          <w:marTop w:val="0"/>
          <w:marBottom w:val="0"/>
          <w:divBdr>
            <w:top w:val="none" w:sz="0" w:space="0" w:color="auto"/>
            <w:left w:val="none" w:sz="0" w:space="0" w:color="auto"/>
            <w:bottom w:val="none" w:sz="0" w:space="0" w:color="auto"/>
            <w:right w:val="none" w:sz="0" w:space="0" w:color="auto"/>
          </w:divBdr>
        </w:div>
        <w:div w:id="323583498">
          <w:marLeft w:val="0"/>
          <w:marRight w:val="0"/>
          <w:marTop w:val="0"/>
          <w:marBottom w:val="0"/>
          <w:divBdr>
            <w:top w:val="none" w:sz="0" w:space="0" w:color="auto"/>
            <w:left w:val="none" w:sz="0" w:space="0" w:color="auto"/>
            <w:bottom w:val="none" w:sz="0" w:space="0" w:color="auto"/>
            <w:right w:val="none" w:sz="0" w:space="0" w:color="auto"/>
          </w:divBdr>
        </w:div>
        <w:div w:id="1706566042">
          <w:marLeft w:val="0"/>
          <w:marRight w:val="0"/>
          <w:marTop w:val="0"/>
          <w:marBottom w:val="0"/>
          <w:divBdr>
            <w:top w:val="none" w:sz="0" w:space="0" w:color="auto"/>
            <w:left w:val="none" w:sz="0" w:space="0" w:color="auto"/>
            <w:bottom w:val="none" w:sz="0" w:space="0" w:color="auto"/>
            <w:right w:val="none" w:sz="0" w:space="0" w:color="auto"/>
          </w:divBdr>
        </w:div>
        <w:div w:id="611979138">
          <w:marLeft w:val="0"/>
          <w:marRight w:val="0"/>
          <w:marTop w:val="0"/>
          <w:marBottom w:val="0"/>
          <w:divBdr>
            <w:top w:val="none" w:sz="0" w:space="0" w:color="auto"/>
            <w:left w:val="none" w:sz="0" w:space="0" w:color="auto"/>
            <w:bottom w:val="none" w:sz="0" w:space="0" w:color="auto"/>
            <w:right w:val="none" w:sz="0" w:space="0" w:color="auto"/>
          </w:divBdr>
        </w:div>
        <w:div w:id="1783722885">
          <w:marLeft w:val="0"/>
          <w:marRight w:val="0"/>
          <w:marTop w:val="0"/>
          <w:marBottom w:val="0"/>
          <w:divBdr>
            <w:top w:val="none" w:sz="0" w:space="0" w:color="auto"/>
            <w:left w:val="none" w:sz="0" w:space="0" w:color="auto"/>
            <w:bottom w:val="none" w:sz="0" w:space="0" w:color="auto"/>
            <w:right w:val="none" w:sz="0" w:space="0" w:color="auto"/>
          </w:divBdr>
        </w:div>
        <w:div w:id="1625190699">
          <w:marLeft w:val="0"/>
          <w:marRight w:val="0"/>
          <w:marTop w:val="0"/>
          <w:marBottom w:val="0"/>
          <w:divBdr>
            <w:top w:val="none" w:sz="0" w:space="0" w:color="auto"/>
            <w:left w:val="none" w:sz="0" w:space="0" w:color="auto"/>
            <w:bottom w:val="none" w:sz="0" w:space="0" w:color="auto"/>
            <w:right w:val="none" w:sz="0" w:space="0" w:color="auto"/>
          </w:divBdr>
        </w:div>
        <w:div w:id="693649275">
          <w:marLeft w:val="0"/>
          <w:marRight w:val="0"/>
          <w:marTop w:val="0"/>
          <w:marBottom w:val="0"/>
          <w:divBdr>
            <w:top w:val="none" w:sz="0" w:space="0" w:color="auto"/>
            <w:left w:val="none" w:sz="0" w:space="0" w:color="auto"/>
            <w:bottom w:val="none" w:sz="0" w:space="0" w:color="auto"/>
            <w:right w:val="none" w:sz="0" w:space="0" w:color="auto"/>
          </w:divBdr>
        </w:div>
        <w:div w:id="2049182833">
          <w:marLeft w:val="0"/>
          <w:marRight w:val="0"/>
          <w:marTop w:val="0"/>
          <w:marBottom w:val="0"/>
          <w:divBdr>
            <w:top w:val="none" w:sz="0" w:space="0" w:color="auto"/>
            <w:left w:val="none" w:sz="0" w:space="0" w:color="auto"/>
            <w:bottom w:val="none" w:sz="0" w:space="0" w:color="auto"/>
            <w:right w:val="none" w:sz="0" w:space="0" w:color="auto"/>
          </w:divBdr>
        </w:div>
        <w:div w:id="1711883222">
          <w:marLeft w:val="0"/>
          <w:marRight w:val="0"/>
          <w:marTop w:val="0"/>
          <w:marBottom w:val="0"/>
          <w:divBdr>
            <w:top w:val="none" w:sz="0" w:space="0" w:color="auto"/>
            <w:left w:val="none" w:sz="0" w:space="0" w:color="auto"/>
            <w:bottom w:val="none" w:sz="0" w:space="0" w:color="auto"/>
            <w:right w:val="none" w:sz="0" w:space="0" w:color="auto"/>
          </w:divBdr>
        </w:div>
        <w:div w:id="229120523">
          <w:marLeft w:val="0"/>
          <w:marRight w:val="0"/>
          <w:marTop w:val="0"/>
          <w:marBottom w:val="0"/>
          <w:divBdr>
            <w:top w:val="none" w:sz="0" w:space="0" w:color="auto"/>
            <w:left w:val="none" w:sz="0" w:space="0" w:color="auto"/>
            <w:bottom w:val="none" w:sz="0" w:space="0" w:color="auto"/>
            <w:right w:val="none" w:sz="0" w:space="0" w:color="auto"/>
          </w:divBdr>
        </w:div>
        <w:div w:id="439253816">
          <w:marLeft w:val="0"/>
          <w:marRight w:val="0"/>
          <w:marTop w:val="0"/>
          <w:marBottom w:val="0"/>
          <w:divBdr>
            <w:top w:val="none" w:sz="0" w:space="0" w:color="auto"/>
            <w:left w:val="none" w:sz="0" w:space="0" w:color="auto"/>
            <w:bottom w:val="none" w:sz="0" w:space="0" w:color="auto"/>
            <w:right w:val="none" w:sz="0" w:space="0" w:color="auto"/>
          </w:divBdr>
        </w:div>
        <w:div w:id="1179586751">
          <w:marLeft w:val="0"/>
          <w:marRight w:val="0"/>
          <w:marTop w:val="0"/>
          <w:marBottom w:val="0"/>
          <w:divBdr>
            <w:top w:val="none" w:sz="0" w:space="0" w:color="auto"/>
            <w:left w:val="none" w:sz="0" w:space="0" w:color="auto"/>
            <w:bottom w:val="none" w:sz="0" w:space="0" w:color="auto"/>
            <w:right w:val="none" w:sz="0" w:space="0" w:color="auto"/>
          </w:divBdr>
        </w:div>
        <w:div w:id="1914198318">
          <w:marLeft w:val="0"/>
          <w:marRight w:val="0"/>
          <w:marTop w:val="0"/>
          <w:marBottom w:val="0"/>
          <w:divBdr>
            <w:top w:val="none" w:sz="0" w:space="0" w:color="auto"/>
            <w:left w:val="none" w:sz="0" w:space="0" w:color="auto"/>
            <w:bottom w:val="none" w:sz="0" w:space="0" w:color="auto"/>
            <w:right w:val="none" w:sz="0" w:space="0" w:color="auto"/>
          </w:divBdr>
        </w:div>
        <w:div w:id="1401320379">
          <w:marLeft w:val="0"/>
          <w:marRight w:val="0"/>
          <w:marTop w:val="0"/>
          <w:marBottom w:val="0"/>
          <w:divBdr>
            <w:top w:val="none" w:sz="0" w:space="0" w:color="auto"/>
            <w:left w:val="none" w:sz="0" w:space="0" w:color="auto"/>
            <w:bottom w:val="none" w:sz="0" w:space="0" w:color="auto"/>
            <w:right w:val="none" w:sz="0" w:space="0" w:color="auto"/>
          </w:divBdr>
        </w:div>
        <w:div w:id="46686366">
          <w:marLeft w:val="0"/>
          <w:marRight w:val="0"/>
          <w:marTop w:val="0"/>
          <w:marBottom w:val="0"/>
          <w:divBdr>
            <w:top w:val="none" w:sz="0" w:space="0" w:color="auto"/>
            <w:left w:val="none" w:sz="0" w:space="0" w:color="auto"/>
            <w:bottom w:val="none" w:sz="0" w:space="0" w:color="auto"/>
            <w:right w:val="none" w:sz="0" w:space="0" w:color="auto"/>
          </w:divBdr>
        </w:div>
        <w:div w:id="958220296">
          <w:marLeft w:val="0"/>
          <w:marRight w:val="0"/>
          <w:marTop w:val="0"/>
          <w:marBottom w:val="0"/>
          <w:divBdr>
            <w:top w:val="none" w:sz="0" w:space="0" w:color="auto"/>
            <w:left w:val="none" w:sz="0" w:space="0" w:color="auto"/>
            <w:bottom w:val="none" w:sz="0" w:space="0" w:color="auto"/>
            <w:right w:val="none" w:sz="0" w:space="0" w:color="auto"/>
          </w:divBdr>
        </w:div>
        <w:div w:id="35473310">
          <w:marLeft w:val="0"/>
          <w:marRight w:val="0"/>
          <w:marTop w:val="0"/>
          <w:marBottom w:val="0"/>
          <w:divBdr>
            <w:top w:val="none" w:sz="0" w:space="0" w:color="auto"/>
            <w:left w:val="none" w:sz="0" w:space="0" w:color="auto"/>
            <w:bottom w:val="none" w:sz="0" w:space="0" w:color="auto"/>
            <w:right w:val="none" w:sz="0" w:space="0" w:color="auto"/>
          </w:divBdr>
        </w:div>
        <w:div w:id="419108074">
          <w:marLeft w:val="0"/>
          <w:marRight w:val="0"/>
          <w:marTop w:val="0"/>
          <w:marBottom w:val="0"/>
          <w:divBdr>
            <w:top w:val="none" w:sz="0" w:space="0" w:color="auto"/>
            <w:left w:val="none" w:sz="0" w:space="0" w:color="auto"/>
            <w:bottom w:val="none" w:sz="0" w:space="0" w:color="auto"/>
            <w:right w:val="none" w:sz="0" w:space="0" w:color="auto"/>
          </w:divBdr>
        </w:div>
        <w:div w:id="1746872790">
          <w:marLeft w:val="0"/>
          <w:marRight w:val="0"/>
          <w:marTop w:val="0"/>
          <w:marBottom w:val="0"/>
          <w:divBdr>
            <w:top w:val="none" w:sz="0" w:space="0" w:color="auto"/>
            <w:left w:val="none" w:sz="0" w:space="0" w:color="auto"/>
            <w:bottom w:val="none" w:sz="0" w:space="0" w:color="auto"/>
            <w:right w:val="none" w:sz="0" w:space="0" w:color="auto"/>
          </w:divBdr>
        </w:div>
        <w:div w:id="267666247">
          <w:marLeft w:val="0"/>
          <w:marRight w:val="0"/>
          <w:marTop w:val="0"/>
          <w:marBottom w:val="0"/>
          <w:divBdr>
            <w:top w:val="none" w:sz="0" w:space="0" w:color="auto"/>
            <w:left w:val="none" w:sz="0" w:space="0" w:color="auto"/>
            <w:bottom w:val="none" w:sz="0" w:space="0" w:color="auto"/>
            <w:right w:val="none" w:sz="0" w:space="0" w:color="auto"/>
          </w:divBdr>
        </w:div>
        <w:div w:id="550269317">
          <w:marLeft w:val="0"/>
          <w:marRight w:val="0"/>
          <w:marTop w:val="0"/>
          <w:marBottom w:val="0"/>
          <w:divBdr>
            <w:top w:val="none" w:sz="0" w:space="0" w:color="auto"/>
            <w:left w:val="none" w:sz="0" w:space="0" w:color="auto"/>
            <w:bottom w:val="none" w:sz="0" w:space="0" w:color="auto"/>
            <w:right w:val="none" w:sz="0" w:space="0" w:color="auto"/>
          </w:divBdr>
        </w:div>
        <w:div w:id="639843932">
          <w:marLeft w:val="0"/>
          <w:marRight w:val="0"/>
          <w:marTop w:val="0"/>
          <w:marBottom w:val="0"/>
          <w:divBdr>
            <w:top w:val="none" w:sz="0" w:space="0" w:color="auto"/>
            <w:left w:val="none" w:sz="0" w:space="0" w:color="auto"/>
            <w:bottom w:val="none" w:sz="0" w:space="0" w:color="auto"/>
            <w:right w:val="none" w:sz="0" w:space="0" w:color="auto"/>
          </w:divBdr>
        </w:div>
        <w:div w:id="1547061445">
          <w:marLeft w:val="0"/>
          <w:marRight w:val="0"/>
          <w:marTop w:val="0"/>
          <w:marBottom w:val="0"/>
          <w:divBdr>
            <w:top w:val="none" w:sz="0" w:space="0" w:color="auto"/>
            <w:left w:val="none" w:sz="0" w:space="0" w:color="auto"/>
            <w:bottom w:val="none" w:sz="0" w:space="0" w:color="auto"/>
            <w:right w:val="none" w:sz="0" w:space="0" w:color="auto"/>
          </w:divBdr>
        </w:div>
        <w:div w:id="1187787969">
          <w:marLeft w:val="0"/>
          <w:marRight w:val="0"/>
          <w:marTop w:val="0"/>
          <w:marBottom w:val="0"/>
          <w:divBdr>
            <w:top w:val="none" w:sz="0" w:space="0" w:color="auto"/>
            <w:left w:val="none" w:sz="0" w:space="0" w:color="auto"/>
            <w:bottom w:val="none" w:sz="0" w:space="0" w:color="auto"/>
            <w:right w:val="none" w:sz="0" w:space="0" w:color="auto"/>
          </w:divBdr>
        </w:div>
        <w:div w:id="1894536250">
          <w:marLeft w:val="0"/>
          <w:marRight w:val="0"/>
          <w:marTop w:val="0"/>
          <w:marBottom w:val="0"/>
          <w:divBdr>
            <w:top w:val="none" w:sz="0" w:space="0" w:color="auto"/>
            <w:left w:val="none" w:sz="0" w:space="0" w:color="auto"/>
            <w:bottom w:val="none" w:sz="0" w:space="0" w:color="auto"/>
            <w:right w:val="none" w:sz="0" w:space="0" w:color="auto"/>
          </w:divBdr>
        </w:div>
        <w:div w:id="1129469078">
          <w:marLeft w:val="0"/>
          <w:marRight w:val="0"/>
          <w:marTop w:val="0"/>
          <w:marBottom w:val="0"/>
          <w:divBdr>
            <w:top w:val="none" w:sz="0" w:space="0" w:color="auto"/>
            <w:left w:val="none" w:sz="0" w:space="0" w:color="auto"/>
            <w:bottom w:val="none" w:sz="0" w:space="0" w:color="auto"/>
            <w:right w:val="none" w:sz="0" w:space="0" w:color="auto"/>
          </w:divBdr>
        </w:div>
        <w:div w:id="644823670">
          <w:marLeft w:val="0"/>
          <w:marRight w:val="0"/>
          <w:marTop w:val="0"/>
          <w:marBottom w:val="0"/>
          <w:divBdr>
            <w:top w:val="none" w:sz="0" w:space="0" w:color="auto"/>
            <w:left w:val="none" w:sz="0" w:space="0" w:color="auto"/>
            <w:bottom w:val="none" w:sz="0" w:space="0" w:color="auto"/>
            <w:right w:val="none" w:sz="0" w:space="0" w:color="auto"/>
          </w:divBdr>
        </w:div>
        <w:div w:id="1677149413">
          <w:marLeft w:val="0"/>
          <w:marRight w:val="0"/>
          <w:marTop w:val="0"/>
          <w:marBottom w:val="0"/>
          <w:divBdr>
            <w:top w:val="none" w:sz="0" w:space="0" w:color="auto"/>
            <w:left w:val="none" w:sz="0" w:space="0" w:color="auto"/>
            <w:bottom w:val="none" w:sz="0" w:space="0" w:color="auto"/>
            <w:right w:val="none" w:sz="0" w:space="0" w:color="auto"/>
          </w:divBdr>
        </w:div>
        <w:div w:id="665016006">
          <w:marLeft w:val="0"/>
          <w:marRight w:val="0"/>
          <w:marTop w:val="0"/>
          <w:marBottom w:val="0"/>
          <w:divBdr>
            <w:top w:val="none" w:sz="0" w:space="0" w:color="auto"/>
            <w:left w:val="none" w:sz="0" w:space="0" w:color="auto"/>
            <w:bottom w:val="none" w:sz="0" w:space="0" w:color="auto"/>
            <w:right w:val="none" w:sz="0" w:space="0" w:color="auto"/>
          </w:divBdr>
        </w:div>
        <w:div w:id="2041931605">
          <w:marLeft w:val="0"/>
          <w:marRight w:val="0"/>
          <w:marTop w:val="0"/>
          <w:marBottom w:val="0"/>
          <w:divBdr>
            <w:top w:val="none" w:sz="0" w:space="0" w:color="auto"/>
            <w:left w:val="none" w:sz="0" w:space="0" w:color="auto"/>
            <w:bottom w:val="none" w:sz="0" w:space="0" w:color="auto"/>
            <w:right w:val="none" w:sz="0" w:space="0" w:color="auto"/>
          </w:divBdr>
        </w:div>
        <w:div w:id="1178959704">
          <w:marLeft w:val="0"/>
          <w:marRight w:val="0"/>
          <w:marTop w:val="0"/>
          <w:marBottom w:val="0"/>
          <w:divBdr>
            <w:top w:val="none" w:sz="0" w:space="0" w:color="auto"/>
            <w:left w:val="none" w:sz="0" w:space="0" w:color="auto"/>
            <w:bottom w:val="none" w:sz="0" w:space="0" w:color="auto"/>
            <w:right w:val="none" w:sz="0" w:space="0" w:color="auto"/>
          </w:divBdr>
        </w:div>
        <w:div w:id="330255457">
          <w:marLeft w:val="0"/>
          <w:marRight w:val="0"/>
          <w:marTop w:val="0"/>
          <w:marBottom w:val="0"/>
          <w:divBdr>
            <w:top w:val="none" w:sz="0" w:space="0" w:color="auto"/>
            <w:left w:val="none" w:sz="0" w:space="0" w:color="auto"/>
            <w:bottom w:val="none" w:sz="0" w:space="0" w:color="auto"/>
            <w:right w:val="none" w:sz="0" w:space="0" w:color="auto"/>
          </w:divBdr>
        </w:div>
        <w:div w:id="1118766765">
          <w:marLeft w:val="0"/>
          <w:marRight w:val="0"/>
          <w:marTop w:val="0"/>
          <w:marBottom w:val="0"/>
          <w:divBdr>
            <w:top w:val="none" w:sz="0" w:space="0" w:color="auto"/>
            <w:left w:val="none" w:sz="0" w:space="0" w:color="auto"/>
            <w:bottom w:val="none" w:sz="0" w:space="0" w:color="auto"/>
            <w:right w:val="none" w:sz="0" w:space="0" w:color="auto"/>
          </w:divBdr>
        </w:div>
        <w:div w:id="538053587">
          <w:marLeft w:val="0"/>
          <w:marRight w:val="0"/>
          <w:marTop w:val="0"/>
          <w:marBottom w:val="0"/>
          <w:divBdr>
            <w:top w:val="none" w:sz="0" w:space="0" w:color="auto"/>
            <w:left w:val="none" w:sz="0" w:space="0" w:color="auto"/>
            <w:bottom w:val="none" w:sz="0" w:space="0" w:color="auto"/>
            <w:right w:val="none" w:sz="0" w:space="0" w:color="auto"/>
          </w:divBdr>
        </w:div>
        <w:div w:id="461851230">
          <w:marLeft w:val="0"/>
          <w:marRight w:val="0"/>
          <w:marTop w:val="0"/>
          <w:marBottom w:val="0"/>
          <w:divBdr>
            <w:top w:val="none" w:sz="0" w:space="0" w:color="auto"/>
            <w:left w:val="none" w:sz="0" w:space="0" w:color="auto"/>
            <w:bottom w:val="none" w:sz="0" w:space="0" w:color="auto"/>
            <w:right w:val="none" w:sz="0" w:space="0" w:color="auto"/>
          </w:divBdr>
        </w:div>
        <w:div w:id="495804446">
          <w:marLeft w:val="0"/>
          <w:marRight w:val="0"/>
          <w:marTop w:val="0"/>
          <w:marBottom w:val="0"/>
          <w:divBdr>
            <w:top w:val="none" w:sz="0" w:space="0" w:color="auto"/>
            <w:left w:val="none" w:sz="0" w:space="0" w:color="auto"/>
            <w:bottom w:val="none" w:sz="0" w:space="0" w:color="auto"/>
            <w:right w:val="none" w:sz="0" w:space="0" w:color="auto"/>
          </w:divBdr>
        </w:div>
        <w:div w:id="2137672160">
          <w:marLeft w:val="0"/>
          <w:marRight w:val="0"/>
          <w:marTop w:val="0"/>
          <w:marBottom w:val="0"/>
          <w:divBdr>
            <w:top w:val="none" w:sz="0" w:space="0" w:color="auto"/>
            <w:left w:val="none" w:sz="0" w:space="0" w:color="auto"/>
            <w:bottom w:val="none" w:sz="0" w:space="0" w:color="auto"/>
            <w:right w:val="none" w:sz="0" w:space="0" w:color="auto"/>
          </w:divBdr>
        </w:div>
        <w:div w:id="1126200792">
          <w:marLeft w:val="0"/>
          <w:marRight w:val="0"/>
          <w:marTop w:val="0"/>
          <w:marBottom w:val="0"/>
          <w:divBdr>
            <w:top w:val="none" w:sz="0" w:space="0" w:color="auto"/>
            <w:left w:val="none" w:sz="0" w:space="0" w:color="auto"/>
            <w:bottom w:val="none" w:sz="0" w:space="0" w:color="auto"/>
            <w:right w:val="none" w:sz="0" w:space="0" w:color="auto"/>
          </w:divBdr>
        </w:div>
        <w:div w:id="294802387">
          <w:marLeft w:val="0"/>
          <w:marRight w:val="0"/>
          <w:marTop w:val="0"/>
          <w:marBottom w:val="0"/>
          <w:divBdr>
            <w:top w:val="none" w:sz="0" w:space="0" w:color="auto"/>
            <w:left w:val="none" w:sz="0" w:space="0" w:color="auto"/>
            <w:bottom w:val="none" w:sz="0" w:space="0" w:color="auto"/>
            <w:right w:val="none" w:sz="0" w:space="0" w:color="auto"/>
          </w:divBdr>
        </w:div>
        <w:div w:id="1842574490">
          <w:marLeft w:val="0"/>
          <w:marRight w:val="0"/>
          <w:marTop w:val="0"/>
          <w:marBottom w:val="0"/>
          <w:divBdr>
            <w:top w:val="none" w:sz="0" w:space="0" w:color="auto"/>
            <w:left w:val="none" w:sz="0" w:space="0" w:color="auto"/>
            <w:bottom w:val="none" w:sz="0" w:space="0" w:color="auto"/>
            <w:right w:val="none" w:sz="0" w:space="0" w:color="auto"/>
          </w:divBdr>
        </w:div>
        <w:div w:id="1614089267">
          <w:marLeft w:val="0"/>
          <w:marRight w:val="0"/>
          <w:marTop w:val="0"/>
          <w:marBottom w:val="0"/>
          <w:divBdr>
            <w:top w:val="none" w:sz="0" w:space="0" w:color="auto"/>
            <w:left w:val="none" w:sz="0" w:space="0" w:color="auto"/>
            <w:bottom w:val="none" w:sz="0" w:space="0" w:color="auto"/>
            <w:right w:val="none" w:sz="0" w:space="0" w:color="auto"/>
          </w:divBdr>
        </w:div>
        <w:div w:id="52126404">
          <w:marLeft w:val="0"/>
          <w:marRight w:val="0"/>
          <w:marTop w:val="0"/>
          <w:marBottom w:val="0"/>
          <w:divBdr>
            <w:top w:val="none" w:sz="0" w:space="0" w:color="auto"/>
            <w:left w:val="none" w:sz="0" w:space="0" w:color="auto"/>
            <w:bottom w:val="none" w:sz="0" w:space="0" w:color="auto"/>
            <w:right w:val="none" w:sz="0" w:space="0" w:color="auto"/>
          </w:divBdr>
        </w:div>
        <w:div w:id="299960830">
          <w:marLeft w:val="0"/>
          <w:marRight w:val="0"/>
          <w:marTop w:val="0"/>
          <w:marBottom w:val="0"/>
          <w:divBdr>
            <w:top w:val="none" w:sz="0" w:space="0" w:color="auto"/>
            <w:left w:val="none" w:sz="0" w:space="0" w:color="auto"/>
            <w:bottom w:val="none" w:sz="0" w:space="0" w:color="auto"/>
            <w:right w:val="none" w:sz="0" w:space="0" w:color="auto"/>
          </w:divBdr>
        </w:div>
        <w:div w:id="1899780976">
          <w:marLeft w:val="0"/>
          <w:marRight w:val="0"/>
          <w:marTop w:val="0"/>
          <w:marBottom w:val="0"/>
          <w:divBdr>
            <w:top w:val="none" w:sz="0" w:space="0" w:color="auto"/>
            <w:left w:val="none" w:sz="0" w:space="0" w:color="auto"/>
            <w:bottom w:val="none" w:sz="0" w:space="0" w:color="auto"/>
            <w:right w:val="none" w:sz="0" w:space="0" w:color="auto"/>
          </w:divBdr>
        </w:div>
        <w:div w:id="2114737577">
          <w:marLeft w:val="0"/>
          <w:marRight w:val="0"/>
          <w:marTop w:val="0"/>
          <w:marBottom w:val="0"/>
          <w:divBdr>
            <w:top w:val="none" w:sz="0" w:space="0" w:color="auto"/>
            <w:left w:val="none" w:sz="0" w:space="0" w:color="auto"/>
            <w:bottom w:val="none" w:sz="0" w:space="0" w:color="auto"/>
            <w:right w:val="none" w:sz="0" w:space="0" w:color="auto"/>
          </w:divBdr>
        </w:div>
        <w:div w:id="1362129712">
          <w:marLeft w:val="0"/>
          <w:marRight w:val="0"/>
          <w:marTop w:val="0"/>
          <w:marBottom w:val="0"/>
          <w:divBdr>
            <w:top w:val="none" w:sz="0" w:space="0" w:color="auto"/>
            <w:left w:val="none" w:sz="0" w:space="0" w:color="auto"/>
            <w:bottom w:val="none" w:sz="0" w:space="0" w:color="auto"/>
            <w:right w:val="none" w:sz="0" w:space="0" w:color="auto"/>
          </w:divBdr>
        </w:div>
        <w:div w:id="792211865">
          <w:marLeft w:val="0"/>
          <w:marRight w:val="0"/>
          <w:marTop w:val="0"/>
          <w:marBottom w:val="0"/>
          <w:divBdr>
            <w:top w:val="none" w:sz="0" w:space="0" w:color="auto"/>
            <w:left w:val="none" w:sz="0" w:space="0" w:color="auto"/>
            <w:bottom w:val="none" w:sz="0" w:space="0" w:color="auto"/>
            <w:right w:val="none" w:sz="0" w:space="0" w:color="auto"/>
          </w:divBdr>
        </w:div>
        <w:div w:id="1191183261">
          <w:marLeft w:val="0"/>
          <w:marRight w:val="0"/>
          <w:marTop w:val="0"/>
          <w:marBottom w:val="0"/>
          <w:divBdr>
            <w:top w:val="none" w:sz="0" w:space="0" w:color="auto"/>
            <w:left w:val="none" w:sz="0" w:space="0" w:color="auto"/>
            <w:bottom w:val="none" w:sz="0" w:space="0" w:color="auto"/>
            <w:right w:val="none" w:sz="0" w:space="0" w:color="auto"/>
          </w:divBdr>
        </w:div>
        <w:div w:id="466246033">
          <w:marLeft w:val="0"/>
          <w:marRight w:val="0"/>
          <w:marTop w:val="0"/>
          <w:marBottom w:val="0"/>
          <w:divBdr>
            <w:top w:val="none" w:sz="0" w:space="0" w:color="auto"/>
            <w:left w:val="none" w:sz="0" w:space="0" w:color="auto"/>
            <w:bottom w:val="none" w:sz="0" w:space="0" w:color="auto"/>
            <w:right w:val="none" w:sz="0" w:space="0" w:color="auto"/>
          </w:divBdr>
        </w:div>
        <w:div w:id="592740345">
          <w:marLeft w:val="0"/>
          <w:marRight w:val="0"/>
          <w:marTop w:val="0"/>
          <w:marBottom w:val="0"/>
          <w:divBdr>
            <w:top w:val="none" w:sz="0" w:space="0" w:color="auto"/>
            <w:left w:val="none" w:sz="0" w:space="0" w:color="auto"/>
            <w:bottom w:val="none" w:sz="0" w:space="0" w:color="auto"/>
            <w:right w:val="none" w:sz="0" w:space="0" w:color="auto"/>
          </w:divBdr>
        </w:div>
        <w:div w:id="545797358">
          <w:marLeft w:val="0"/>
          <w:marRight w:val="0"/>
          <w:marTop w:val="0"/>
          <w:marBottom w:val="0"/>
          <w:divBdr>
            <w:top w:val="none" w:sz="0" w:space="0" w:color="auto"/>
            <w:left w:val="none" w:sz="0" w:space="0" w:color="auto"/>
            <w:bottom w:val="none" w:sz="0" w:space="0" w:color="auto"/>
            <w:right w:val="none" w:sz="0" w:space="0" w:color="auto"/>
          </w:divBdr>
        </w:div>
        <w:div w:id="950628227">
          <w:marLeft w:val="0"/>
          <w:marRight w:val="0"/>
          <w:marTop w:val="0"/>
          <w:marBottom w:val="0"/>
          <w:divBdr>
            <w:top w:val="none" w:sz="0" w:space="0" w:color="auto"/>
            <w:left w:val="none" w:sz="0" w:space="0" w:color="auto"/>
            <w:bottom w:val="none" w:sz="0" w:space="0" w:color="auto"/>
            <w:right w:val="none" w:sz="0" w:space="0" w:color="auto"/>
          </w:divBdr>
        </w:div>
        <w:div w:id="571546105">
          <w:marLeft w:val="0"/>
          <w:marRight w:val="0"/>
          <w:marTop w:val="0"/>
          <w:marBottom w:val="0"/>
          <w:divBdr>
            <w:top w:val="none" w:sz="0" w:space="0" w:color="auto"/>
            <w:left w:val="none" w:sz="0" w:space="0" w:color="auto"/>
            <w:bottom w:val="none" w:sz="0" w:space="0" w:color="auto"/>
            <w:right w:val="none" w:sz="0" w:space="0" w:color="auto"/>
          </w:divBdr>
        </w:div>
        <w:div w:id="2062365115">
          <w:marLeft w:val="0"/>
          <w:marRight w:val="0"/>
          <w:marTop w:val="0"/>
          <w:marBottom w:val="0"/>
          <w:divBdr>
            <w:top w:val="none" w:sz="0" w:space="0" w:color="auto"/>
            <w:left w:val="none" w:sz="0" w:space="0" w:color="auto"/>
            <w:bottom w:val="none" w:sz="0" w:space="0" w:color="auto"/>
            <w:right w:val="none" w:sz="0" w:space="0" w:color="auto"/>
          </w:divBdr>
        </w:div>
        <w:div w:id="1703356467">
          <w:marLeft w:val="0"/>
          <w:marRight w:val="0"/>
          <w:marTop w:val="0"/>
          <w:marBottom w:val="0"/>
          <w:divBdr>
            <w:top w:val="none" w:sz="0" w:space="0" w:color="auto"/>
            <w:left w:val="none" w:sz="0" w:space="0" w:color="auto"/>
            <w:bottom w:val="none" w:sz="0" w:space="0" w:color="auto"/>
            <w:right w:val="none" w:sz="0" w:space="0" w:color="auto"/>
          </w:divBdr>
        </w:div>
        <w:div w:id="1299459174">
          <w:marLeft w:val="0"/>
          <w:marRight w:val="0"/>
          <w:marTop w:val="0"/>
          <w:marBottom w:val="0"/>
          <w:divBdr>
            <w:top w:val="none" w:sz="0" w:space="0" w:color="auto"/>
            <w:left w:val="none" w:sz="0" w:space="0" w:color="auto"/>
            <w:bottom w:val="none" w:sz="0" w:space="0" w:color="auto"/>
            <w:right w:val="none" w:sz="0" w:space="0" w:color="auto"/>
          </w:divBdr>
        </w:div>
        <w:div w:id="1790660110">
          <w:marLeft w:val="0"/>
          <w:marRight w:val="0"/>
          <w:marTop w:val="0"/>
          <w:marBottom w:val="0"/>
          <w:divBdr>
            <w:top w:val="none" w:sz="0" w:space="0" w:color="auto"/>
            <w:left w:val="none" w:sz="0" w:space="0" w:color="auto"/>
            <w:bottom w:val="none" w:sz="0" w:space="0" w:color="auto"/>
            <w:right w:val="none" w:sz="0" w:space="0" w:color="auto"/>
          </w:divBdr>
        </w:div>
        <w:div w:id="2135905297">
          <w:marLeft w:val="0"/>
          <w:marRight w:val="0"/>
          <w:marTop w:val="0"/>
          <w:marBottom w:val="0"/>
          <w:divBdr>
            <w:top w:val="none" w:sz="0" w:space="0" w:color="auto"/>
            <w:left w:val="none" w:sz="0" w:space="0" w:color="auto"/>
            <w:bottom w:val="none" w:sz="0" w:space="0" w:color="auto"/>
            <w:right w:val="none" w:sz="0" w:space="0" w:color="auto"/>
          </w:divBdr>
        </w:div>
        <w:div w:id="547107105">
          <w:marLeft w:val="0"/>
          <w:marRight w:val="0"/>
          <w:marTop w:val="0"/>
          <w:marBottom w:val="0"/>
          <w:divBdr>
            <w:top w:val="none" w:sz="0" w:space="0" w:color="auto"/>
            <w:left w:val="none" w:sz="0" w:space="0" w:color="auto"/>
            <w:bottom w:val="none" w:sz="0" w:space="0" w:color="auto"/>
            <w:right w:val="none" w:sz="0" w:space="0" w:color="auto"/>
          </w:divBdr>
        </w:div>
        <w:div w:id="1449467926">
          <w:marLeft w:val="0"/>
          <w:marRight w:val="0"/>
          <w:marTop w:val="0"/>
          <w:marBottom w:val="0"/>
          <w:divBdr>
            <w:top w:val="none" w:sz="0" w:space="0" w:color="auto"/>
            <w:left w:val="none" w:sz="0" w:space="0" w:color="auto"/>
            <w:bottom w:val="none" w:sz="0" w:space="0" w:color="auto"/>
            <w:right w:val="none" w:sz="0" w:space="0" w:color="auto"/>
          </w:divBdr>
        </w:div>
        <w:div w:id="170528636">
          <w:marLeft w:val="0"/>
          <w:marRight w:val="0"/>
          <w:marTop w:val="0"/>
          <w:marBottom w:val="0"/>
          <w:divBdr>
            <w:top w:val="none" w:sz="0" w:space="0" w:color="auto"/>
            <w:left w:val="none" w:sz="0" w:space="0" w:color="auto"/>
            <w:bottom w:val="none" w:sz="0" w:space="0" w:color="auto"/>
            <w:right w:val="none" w:sz="0" w:space="0" w:color="auto"/>
          </w:divBdr>
        </w:div>
        <w:div w:id="408502061">
          <w:marLeft w:val="0"/>
          <w:marRight w:val="0"/>
          <w:marTop w:val="0"/>
          <w:marBottom w:val="0"/>
          <w:divBdr>
            <w:top w:val="none" w:sz="0" w:space="0" w:color="auto"/>
            <w:left w:val="none" w:sz="0" w:space="0" w:color="auto"/>
            <w:bottom w:val="none" w:sz="0" w:space="0" w:color="auto"/>
            <w:right w:val="none" w:sz="0" w:space="0" w:color="auto"/>
          </w:divBdr>
        </w:div>
        <w:div w:id="898436923">
          <w:marLeft w:val="0"/>
          <w:marRight w:val="0"/>
          <w:marTop w:val="0"/>
          <w:marBottom w:val="0"/>
          <w:divBdr>
            <w:top w:val="none" w:sz="0" w:space="0" w:color="auto"/>
            <w:left w:val="none" w:sz="0" w:space="0" w:color="auto"/>
            <w:bottom w:val="none" w:sz="0" w:space="0" w:color="auto"/>
            <w:right w:val="none" w:sz="0" w:space="0" w:color="auto"/>
          </w:divBdr>
        </w:div>
        <w:div w:id="1364592596">
          <w:marLeft w:val="0"/>
          <w:marRight w:val="0"/>
          <w:marTop w:val="0"/>
          <w:marBottom w:val="0"/>
          <w:divBdr>
            <w:top w:val="none" w:sz="0" w:space="0" w:color="auto"/>
            <w:left w:val="none" w:sz="0" w:space="0" w:color="auto"/>
            <w:bottom w:val="none" w:sz="0" w:space="0" w:color="auto"/>
            <w:right w:val="none" w:sz="0" w:space="0" w:color="auto"/>
          </w:divBdr>
        </w:div>
        <w:div w:id="1643653262">
          <w:marLeft w:val="0"/>
          <w:marRight w:val="0"/>
          <w:marTop w:val="0"/>
          <w:marBottom w:val="0"/>
          <w:divBdr>
            <w:top w:val="none" w:sz="0" w:space="0" w:color="auto"/>
            <w:left w:val="none" w:sz="0" w:space="0" w:color="auto"/>
            <w:bottom w:val="none" w:sz="0" w:space="0" w:color="auto"/>
            <w:right w:val="none" w:sz="0" w:space="0" w:color="auto"/>
          </w:divBdr>
        </w:div>
        <w:div w:id="1935629618">
          <w:marLeft w:val="0"/>
          <w:marRight w:val="0"/>
          <w:marTop w:val="0"/>
          <w:marBottom w:val="0"/>
          <w:divBdr>
            <w:top w:val="none" w:sz="0" w:space="0" w:color="auto"/>
            <w:left w:val="none" w:sz="0" w:space="0" w:color="auto"/>
            <w:bottom w:val="none" w:sz="0" w:space="0" w:color="auto"/>
            <w:right w:val="none" w:sz="0" w:space="0" w:color="auto"/>
          </w:divBdr>
        </w:div>
        <w:div w:id="2110661044">
          <w:marLeft w:val="0"/>
          <w:marRight w:val="0"/>
          <w:marTop w:val="0"/>
          <w:marBottom w:val="0"/>
          <w:divBdr>
            <w:top w:val="none" w:sz="0" w:space="0" w:color="auto"/>
            <w:left w:val="none" w:sz="0" w:space="0" w:color="auto"/>
            <w:bottom w:val="none" w:sz="0" w:space="0" w:color="auto"/>
            <w:right w:val="none" w:sz="0" w:space="0" w:color="auto"/>
          </w:divBdr>
        </w:div>
        <w:div w:id="345250530">
          <w:marLeft w:val="0"/>
          <w:marRight w:val="0"/>
          <w:marTop w:val="0"/>
          <w:marBottom w:val="0"/>
          <w:divBdr>
            <w:top w:val="none" w:sz="0" w:space="0" w:color="auto"/>
            <w:left w:val="none" w:sz="0" w:space="0" w:color="auto"/>
            <w:bottom w:val="none" w:sz="0" w:space="0" w:color="auto"/>
            <w:right w:val="none" w:sz="0" w:space="0" w:color="auto"/>
          </w:divBdr>
        </w:div>
        <w:div w:id="1479613445">
          <w:marLeft w:val="0"/>
          <w:marRight w:val="0"/>
          <w:marTop w:val="0"/>
          <w:marBottom w:val="0"/>
          <w:divBdr>
            <w:top w:val="none" w:sz="0" w:space="0" w:color="auto"/>
            <w:left w:val="none" w:sz="0" w:space="0" w:color="auto"/>
            <w:bottom w:val="none" w:sz="0" w:space="0" w:color="auto"/>
            <w:right w:val="none" w:sz="0" w:space="0" w:color="auto"/>
          </w:divBdr>
        </w:div>
        <w:div w:id="2025857005">
          <w:marLeft w:val="0"/>
          <w:marRight w:val="0"/>
          <w:marTop w:val="0"/>
          <w:marBottom w:val="0"/>
          <w:divBdr>
            <w:top w:val="none" w:sz="0" w:space="0" w:color="auto"/>
            <w:left w:val="none" w:sz="0" w:space="0" w:color="auto"/>
            <w:bottom w:val="none" w:sz="0" w:space="0" w:color="auto"/>
            <w:right w:val="none" w:sz="0" w:space="0" w:color="auto"/>
          </w:divBdr>
        </w:div>
        <w:div w:id="1388994205">
          <w:marLeft w:val="0"/>
          <w:marRight w:val="0"/>
          <w:marTop w:val="0"/>
          <w:marBottom w:val="0"/>
          <w:divBdr>
            <w:top w:val="none" w:sz="0" w:space="0" w:color="auto"/>
            <w:left w:val="none" w:sz="0" w:space="0" w:color="auto"/>
            <w:bottom w:val="none" w:sz="0" w:space="0" w:color="auto"/>
            <w:right w:val="none" w:sz="0" w:space="0" w:color="auto"/>
          </w:divBdr>
        </w:div>
        <w:div w:id="1453133723">
          <w:marLeft w:val="0"/>
          <w:marRight w:val="0"/>
          <w:marTop w:val="0"/>
          <w:marBottom w:val="0"/>
          <w:divBdr>
            <w:top w:val="none" w:sz="0" w:space="0" w:color="auto"/>
            <w:left w:val="none" w:sz="0" w:space="0" w:color="auto"/>
            <w:bottom w:val="none" w:sz="0" w:space="0" w:color="auto"/>
            <w:right w:val="none" w:sz="0" w:space="0" w:color="auto"/>
          </w:divBdr>
        </w:div>
        <w:div w:id="1052002319">
          <w:marLeft w:val="0"/>
          <w:marRight w:val="0"/>
          <w:marTop w:val="0"/>
          <w:marBottom w:val="0"/>
          <w:divBdr>
            <w:top w:val="none" w:sz="0" w:space="0" w:color="auto"/>
            <w:left w:val="none" w:sz="0" w:space="0" w:color="auto"/>
            <w:bottom w:val="none" w:sz="0" w:space="0" w:color="auto"/>
            <w:right w:val="none" w:sz="0" w:space="0" w:color="auto"/>
          </w:divBdr>
        </w:div>
        <w:div w:id="184100793">
          <w:marLeft w:val="0"/>
          <w:marRight w:val="0"/>
          <w:marTop w:val="0"/>
          <w:marBottom w:val="0"/>
          <w:divBdr>
            <w:top w:val="none" w:sz="0" w:space="0" w:color="auto"/>
            <w:left w:val="none" w:sz="0" w:space="0" w:color="auto"/>
            <w:bottom w:val="none" w:sz="0" w:space="0" w:color="auto"/>
            <w:right w:val="none" w:sz="0" w:space="0" w:color="auto"/>
          </w:divBdr>
        </w:div>
        <w:div w:id="1812944792">
          <w:marLeft w:val="0"/>
          <w:marRight w:val="0"/>
          <w:marTop w:val="0"/>
          <w:marBottom w:val="0"/>
          <w:divBdr>
            <w:top w:val="none" w:sz="0" w:space="0" w:color="auto"/>
            <w:left w:val="none" w:sz="0" w:space="0" w:color="auto"/>
            <w:bottom w:val="none" w:sz="0" w:space="0" w:color="auto"/>
            <w:right w:val="none" w:sz="0" w:space="0" w:color="auto"/>
          </w:divBdr>
        </w:div>
        <w:div w:id="244538832">
          <w:marLeft w:val="0"/>
          <w:marRight w:val="0"/>
          <w:marTop w:val="0"/>
          <w:marBottom w:val="0"/>
          <w:divBdr>
            <w:top w:val="none" w:sz="0" w:space="0" w:color="auto"/>
            <w:left w:val="none" w:sz="0" w:space="0" w:color="auto"/>
            <w:bottom w:val="none" w:sz="0" w:space="0" w:color="auto"/>
            <w:right w:val="none" w:sz="0" w:space="0" w:color="auto"/>
          </w:divBdr>
        </w:div>
        <w:div w:id="115755185">
          <w:marLeft w:val="0"/>
          <w:marRight w:val="0"/>
          <w:marTop w:val="0"/>
          <w:marBottom w:val="0"/>
          <w:divBdr>
            <w:top w:val="none" w:sz="0" w:space="0" w:color="auto"/>
            <w:left w:val="none" w:sz="0" w:space="0" w:color="auto"/>
            <w:bottom w:val="none" w:sz="0" w:space="0" w:color="auto"/>
            <w:right w:val="none" w:sz="0" w:space="0" w:color="auto"/>
          </w:divBdr>
        </w:div>
        <w:div w:id="1034112075">
          <w:marLeft w:val="0"/>
          <w:marRight w:val="0"/>
          <w:marTop w:val="0"/>
          <w:marBottom w:val="0"/>
          <w:divBdr>
            <w:top w:val="none" w:sz="0" w:space="0" w:color="auto"/>
            <w:left w:val="none" w:sz="0" w:space="0" w:color="auto"/>
            <w:bottom w:val="none" w:sz="0" w:space="0" w:color="auto"/>
            <w:right w:val="none" w:sz="0" w:space="0" w:color="auto"/>
          </w:divBdr>
        </w:div>
        <w:div w:id="2052027862">
          <w:marLeft w:val="0"/>
          <w:marRight w:val="0"/>
          <w:marTop w:val="0"/>
          <w:marBottom w:val="0"/>
          <w:divBdr>
            <w:top w:val="none" w:sz="0" w:space="0" w:color="auto"/>
            <w:left w:val="none" w:sz="0" w:space="0" w:color="auto"/>
            <w:bottom w:val="none" w:sz="0" w:space="0" w:color="auto"/>
            <w:right w:val="none" w:sz="0" w:space="0" w:color="auto"/>
          </w:divBdr>
        </w:div>
        <w:div w:id="963004722">
          <w:marLeft w:val="0"/>
          <w:marRight w:val="0"/>
          <w:marTop w:val="0"/>
          <w:marBottom w:val="0"/>
          <w:divBdr>
            <w:top w:val="none" w:sz="0" w:space="0" w:color="auto"/>
            <w:left w:val="none" w:sz="0" w:space="0" w:color="auto"/>
            <w:bottom w:val="none" w:sz="0" w:space="0" w:color="auto"/>
            <w:right w:val="none" w:sz="0" w:space="0" w:color="auto"/>
          </w:divBdr>
        </w:div>
        <w:div w:id="839925176">
          <w:marLeft w:val="0"/>
          <w:marRight w:val="0"/>
          <w:marTop w:val="0"/>
          <w:marBottom w:val="0"/>
          <w:divBdr>
            <w:top w:val="none" w:sz="0" w:space="0" w:color="auto"/>
            <w:left w:val="none" w:sz="0" w:space="0" w:color="auto"/>
            <w:bottom w:val="none" w:sz="0" w:space="0" w:color="auto"/>
            <w:right w:val="none" w:sz="0" w:space="0" w:color="auto"/>
          </w:divBdr>
        </w:div>
        <w:div w:id="1526868117">
          <w:marLeft w:val="0"/>
          <w:marRight w:val="0"/>
          <w:marTop w:val="0"/>
          <w:marBottom w:val="0"/>
          <w:divBdr>
            <w:top w:val="none" w:sz="0" w:space="0" w:color="auto"/>
            <w:left w:val="none" w:sz="0" w:space="0" w:color="auto"/>
            <w:bottom w:val="none" w:sz="0" w:space="0" w:color="auto"/>
            <w:right w:val="none" w:sz="0" w:space="0" w:color="auto"/>
          </w:divBdr>
        </w:div>
        <w:div w:id="1854031928">
          <w:marLeft w:val="0"/>
          <w:marRight w:val="0"/>
          <w:marTop w:val="0"/>
          <w:marBottom w:val="0"/>
          <w:divBdr>
            <w:top w:val="none" w:sz="0" w:space="0" w:color="auto"/>
            <w:left w:val="none" w:sz="0" w:space="0" w:color="auto"/>
            <w:bottom w:val="none" w:sz="0" w:space="0" w:color="auto"/>
            <w:right w:val="none" w:sz="0" w:space="0" w:color="auto"/>
          </w:divBdr>
        </w:div>
        <w:div w:id="822233396">
          <w:marLeft w:val="0"/>
          <w:marRight w:val="0"/>
          <w:marTop w:val="0"/>
          <w:marBottom w:val="0"/>
          <w:divBdr>
            <w:top w:val="none" w:sz="0" w:space="0" w:color="auto"/>
            <w:left w:val="none" w:sz="0" w:space="0" w:color="auto"/>
            <w:bottom w:val="none" w:sz="0" w:space="0" w:color="auto"/>
            <w:right w:val="none" w:sz="0" w:space="0" w:color="auto"/>
          </w:divBdr>
        </w:div>
        <w:div w:id="1967470571">
          <w:marLeft w:val="0"/>
          <w:marRight w:val="0"/>
          <w:marTop w:val="0"/>
          <w:marBottom w:val="0"/>
          <w:divBdr>
            <w:top w:val="none" w:sz="0" w:space="0" w:color="auto"/>
            <w:left w:val="none" w:sz="0" w:space="0" w:color="auto"/>
            <w:bottom w:val="none" w:sz="0" w:space="0" w:color="auto"/>
            <w:right w:val="none" w:sz="0" w:space="0" w:color="auto"/>
          </w:divBdr>
        </w:div>
        <w:div w:id="1289779860">
          <w:marLeft w:val="0"/>
          <w:marRight w:val="0"/>
          <w:marTop w:val="0"/>
          <w:marBottom w:val="0"/>
          <w:divBdr>
            <w:top w:val="none" w:sz="0" w:space="0" w:color="auto"/>
            <w:left w:val="none" w:sz="0" w:space="0" w:color="auto"/>
            <w:bottom w:val="none" w:sz="0" w:space="0" w:color="auto"/>
            <w:right w:val="none" w:sz="0" w:space="0" w:color="auto"/>
          </w:divBdr>
        </w:div>
        <w:div w:id="768966453">
          <w:marLeft w:val="0"/>
          <w:marRight w:val="0"/>
          <w:marTop w:val="0"/>
          <w:marBottom w:val="0"/>
          <w:divBdr>
            <w:top w:val="none" w:sz="0" w:space="0" w:color="auto"/>
            <w:left w:val="none" w:sz="0" w:space="0" w:color="auto"/>
            <w:bottom w:val="none" w:sz="0" w:space="0" w:color="auto"/>
            <w:right w:val="none" w:sz="0" w:space="0" w:color="auto"/>
          </w:divBdr>
        </w:div>
        <w:div w:id="979114176">
          <w:marLeft w:val="0"/>
          <w:marRight w:val="0"/>
          <w:marTop w:val="0"/>
          <w:marBottom w:val="0"/>
          <w:divBdr>
            <w:top w:val="none" w:sz="0" w:space="0" w:color="auto"/>
            <w:left w:val="none" w:sz="0" w:space="0" w:color="auto"/>
            <w:bottom w:val="none" w:sz="0" w:space="0" w:color="auto"/>
            <w:right w:val="none" w:sz="0" w:space="0" w:color="auto"/>
          </w:divBdr>
        </w:div>
        <w:div w:id="338196717">
          <w:marLeft w:val="0"/>
          <w:marRight w:val="0"/>
          <w:marTop w:val="0"/>
          <w:marBottom w:val="0"/>
          <w:divBdr>
            <w:top w:val="none" w:sz="0" w:space="0" w:color="auto"/>
            <w:left w:val="none" w:sz="0" w:space="0" w:color="auto"/>
            <w:bottom w:val="none" w:sz="0" w:space="0" w:color="auto"/>
            <w:right w:val="none" w:sz="0" w:space="0" w:color="auto"/>
          </w:divBdr>
        </w:div>
        <w:div w:id="1386022247">
          <w:marLeft w:val="0"/>
          <w:marRight w:val="0"/>
          <w:marTop w:val="0"/>
          <w:marBottom w:val="0"/>
          <w:divBdr>
            <w:top w:val="none" w:sz="0" w:space="0" w:color="auto"/>
            <w:left w:val="none" w:sz="0" w:space="0" w:color="auto"/>
            <w:bottom w:val="none" w:sz="0" w:space="0" w:color="auto"/>
            <w:right w:val="none" w:sz="0" w:space="0" w:color="auto"/>
          </w:divBdr>
        </w:div>
        <w:div w:id="1454599023">
          <w:marLeft w:val="0"/>
          <w:marRight w:val="0"/>
          <w:marTop w:val="0"/>
          <w:marBottom w:val="0"/>
          <w:divBdr>
            <w:top w:val="none" w:sz="0" w:space="0" w:color="auto"/>
            <w:left w:val="none" w:sz="0" w:space="0" w:color="auto"/>
            <w:bottom w:val="none" w:sz="0" w:space="0" w:color="auto"/>
            <w:right w:val="none" w:sz="0" w:space="0" w:color="auto"/>
          </w:divBdr>
        </w:div>
        <w:div w:id="1008677710">
          <w:marLeft w:val="0"/>
          <w:marRight w:val="0"/>
          <w:marTop w:val="0"/>
          <w:marBottom w:val="0"/>
          <w:divBdr>
            <w:top w:val="none" w:sz="0" w:space="0" w:color="auto"/>
            <w:left w:val="none" w:sz="0" w:space="0" w:color="auto"/>
            <w:bottom w:val="none" w:sz="0" w:space="0" w:color="auto"/>
            <w:right w:val="none" w:sz="0" w:space="0" w:color="auto"/>
          </w:divBdr>
        </w:div>
        <w:div w:id="1426997151">
          <w:marLeft w:val="0"/>
          <w:marRight w:val="0"/>
          <w:marTop w:val="0"/>
          <w:marBottom w:val="0"/>
          <w:divBdr>
            <w:top w:val="none" w:sz="0" w:space="0" w:color="auto"/>
            <w:left w:val="none" w:sz="0" w:space="0" w:color="auto"/>
            <w:bottom w:val="none" w:sz="0" w:space="0" w:color="auto"/>
            <w:right w:val="none" w:sz="0" w:space="0" w:color="auto"/>
          </w:divBdr>
        </w:div>
        <w:div w:id="1354304029">
          <w:marLeft w:val="0"/>
          <w:marRight w:val="0"/>
          <w:marTop w:val="0"/>
          <w:marBottom w:val="0"/>
          <w:divBdr>
            <w:top w:val="none" w:sz="0" w:space="0" w:color="auto"/>
            <w:left w:val="none" w:sz="0" w:space="0" w:color="auto"/>
            <w:bottom w:val="none" w:sz="0" w:space="0" w:color="auto"/>
            <w:right w:val="none" w:sz="0" w:space="0" w:color="auto"/>
          </w:divBdr>
        </w:div>
        <w:div w:id="2083210301">
          <w:marLeft w:val="0"/>
          <w:marRight w:val="0"/>
          <w:marTop w:val="0"/>
          <w:marBottom w:val="0"/>
          <w:divBdr>
            <w:top w:val="none" w:sz="0" w:space="0" w:color="auto"/>
            <w:left w:val="none" w:sz="0" w:space="0" w:color="auto"/>
            <w:bottom w:val="none" w:sz="0" w:space="0" w:color="auto"/>
            <w:right w:val="none" w:sz="0" w:space="0" w:color="auto"/>
          </w:divBdr>
        </w:div>
        <w:div w:id="2144736170">
          <w:marLeft w:val="0"/>
          <w:marRight w:val="0"/>
          <w:marTop w:val="0"/>
          <w:marBottom w:val="0"/>
          <w:divBdr>
            <w:top w:val="none" w:sz="0" w:space="0" w:color="auto"/>
            <w:left w:val="none" w:sz="0" w:space="0" w:color="auto"/>
            <w:bottom w:val="none" w:sz="0" w:space="0" w:color="auto"/>
            <w:right w:val="none" w:sz="0" w:space="0" w:color="auto"/>
          </w:divBdr>
        </w:div>
        <w:div w:id="1686131205">
          <w:marLeft w:val="0"/>
          <w:marRight w:val="0"/>
          <w:marTop w:val="0"/>
          <w:marBottom w:val="0"/>
          <w:divBdr>
            <w:top w:val="none" w:sz="0" w:space="0" w:color="auto"/>
            <w:left w:val="none" w:sz="0" w:space="0" w:color="auto"/>
            <w:bottom w:val="none" w:sz="0" w:space="0" w:color="auto"/>
            <w:right w:val="none" w:sz="0" w:space="0" w:color="auto"/>
          </w:divBdr>
        </w:div>
        <w:div w:id="789863348">
          <w:marLeft w:val="0"/>
          <w:marRight w:val="0"/>
          <w:marTop w:val="0"/>
          <w:marBottom w:val="0"/>
          <w:divBdr>
            <w:top w:val="none" w:sz="0" w:space="0" w:color="auto"/>
            <w:left w:val="none" w:sz="0" w:space="0" w:color="auto"/>
            <w:bottom w:val="none" w:sz="0" w:space="0" w:color="auto"/>
            <w:right w:val="none" w:sz="0" w:space="0" w:color="auto"/>
          </w:divBdr>
        </w:div>
        <w:div w:id="931859623">
          <w:marLeft w:val="0"/>
          <w:marRight w:val="0"/>
          <w:marTop w:val="0"/>
          <w:marBottom w:val="0"/>
          <w:divBdr>
            <w:top w:val="none" w:sz="0" w:space="0" w:color="auto"/>
            <w:left w:val="none" w:sz="0" w:space="0" w:color="auto"/>
            <w:bottom w:val="none" w:sz="0" w:space="0" w:color="auto"/>
            <w:right w:val="none" w:sz="0" w:space="0" w:color="auto"/>
          </w:divBdr>
        </w:div>
        <w:div w:id="1855924228">
          <w:marLeft w:val="0"/>
          <w:marRight w:val="0"/>
          <w:marTop w:val="0"/>
          <w:marBottom w:val="0"/>
          <w:divBdr>
            <w:top w:val="none" w:sz="0" w:space="0" w:color="auto"/>
            <w:left w:val="none" w:sz="0" w:space="0" w:color="auto"/>
            <w:bottom w:val="none" w:sz="0" w:space="0" w:color="auto"/>
            <w:right w:val="none" w:sz="0" w:space="0" w:color="auto"/>
          </w:divBdr>
        </w:div>
        <w:div w:id="893584565">
          <w:marLeft w:val="0"/>
          <w:marRight w:val="0"/>
          <w:marTop w:val="0"/>
          <w:marBottom w:val="0"/>
          <w:divBdr>
            <w:top w:val="none" w:sz="0" w:space="0" w:color="auto"/>
            <w:left w:val="none" w:sz="0" w:space="0" w:color="auto"/>
            <w:bottom w:val="none" w:sz="0" w:space="0" w:color="auto"/>
            <w:right w:val="none" w:sz="0" w:space="0" w:color="auto"/>
          </w:divBdr>
        </w:div>
        <w:div w:id="298851718">
          <w:marLeft w:val="0"/>
          <w:marRight w:val="0"/>
          <w:marTop w:val="0"/>
          <w:marBottom w:val="0"/>
          <w:divBdr>
            <w:top w:val="none" w:sz="0" w:space="0" w:color="auto"/>
            <w:left w:val="none" w:sz="0" w:space="0" w:color="auto"/>
            <w:bottom w:val="none" w:sz="0" w:space="0" w:color="auto"/>
            <w:right w:val="none" w:sz="0" w:space="0" w:color="auto"/>
          </w:divBdr>
        </w:div>
        <w:div w:id="832379250">
          <w:marLeft w:val="0"/>
          <w:marRight w:val="0"/>
          <w:marTop w:val="0"/>
          <w:marBottom w:val="0"/>
          <w:divBdr>
            <w:top w:val="none" w:sz="0" w:space="0" w:color="auto"/>
            <w:left w:val="none" w:sz="0" w:space="0" w:color="auto"/>
            <w:bottom w:val="none" w:sz="0" w:space="0" w:color="auto"/>
            <w:right w:val="none" w:sz="0" w:space="0" w:color="auto"/>
          </w:divBdr>
        </w:div>
        <w:div w:id="1146435061">
          <w:marLeft w:val="0"/>
          <w:marRight w:val="0"/>
          <w:marTop w:val="0"/>
          <w:marBottom w:val="0"/>
          <w:divBdr>
            <w:top w:val="none" w:sz="0" w:space="0" w:color="auto"/>
            <w:left w:val="none" w:sz="0" w:space="0" w:color="auto"/>
            <w:bottom w:val="none" w:sz="0" w:space="0" w:color="auto"/>
            <w:right w:val="none" w:sz="0" w:space="0" w:color="auto"/>
          </w:divBdr>
        </w:div>
        <w:div w:id="4790515">
          <w:marLeft w:val="0"/>
          <w:marRight w:val="0"/>
          <w:marTop w:val="0"/>
          <w:marBottom w:val="0"/>
          <w:divBdr>
            <w:top w:val="none" w:sz="0" w:space="0" w:color="auto"/>
            <w:left w:val="none" w:sz="0" w:space="0" w:color="auto"/>
            <w:bottom w:val="none" w:sz="0" w:space="0" w:color="auto"/>
            <w:right w:val="none" w:sz="0" w:space="0" w:color="auto"/>
          </w:divBdr>
        </w:div>
        <w:div w:id="654647555">
          <w:marLeft w:val="0"/>
          <w:marRight w:val="0"/>
          <w:marTop w:val="0"/>
          <w:marBottom w:val="0"/>
          <w:divBdr>
            <w:top w:val="none" w:sz="0" w:space="0" w:color="auto"/>
            <w:left w:val="none" w:sz="0" w:space="0" w:color="auto"/>
            <w:bottom w:val="none" w:sz="0" w:space="0" w:color="auto"/>
            <w:right w:val="none" w:sz="0" w:space="0" w:color="auto"/>
          </w:divBdr>
        </w:div>
        <w:div w:id="1920556582">
          <w:marLeft w:val="0"/>
          <w:marRight w:val="0"/>
          <w:marTop w:val="0"/>
          <w:marBottom w:val="0"/>
          <w:divBdr>
            <w:top w:val="none" w:sz="0" w:space="0" w:color="auto"/>
            <w:left w:val="none" w:sz="0" w:space="0" w:color="auto"/>
            <w:bottom w:val="none" w:sz="0" w:space="0" w:color="auto"/>
            <w:right w:val="none" w:sz="0" w:space="0" w:color="auto"/>
          </w:divBdr>
        </w:div>
        <w:div w:id="2034650550">
          <w:marLeft w:val="0"/>
          <w:marRight w:val="0"/>
          <w:marTop w:val="0"/>
          <w:marBottom w:val="0"/>
          <w:divBdr>
            <w:top w:val="none" w:sz="0" w:space="0" w:color="auto"/>
            <w:left w:val="none" w:sz="0" w:space="0" w:color="auto"/>
            <w:bottom w:val="none" w:sz="0" w:space="0" w:color="auto"/>
            <w:right w:val="none" w:sz="0" w:space="0" w:color="auto"/>
          </w:divBdr>
        </w:div>
        <w:div w:id="1456632286">
          <w:marLeft w:val="0"/>
          <w:marRight w:val="0"/>
          <w:marTop w:val="0"/>
          <w:marBottom w:val="0"/>
          <w:divBdr>
            <w:top w:val="none" w:sz="0" w:space="0" w:color="auto"/>
            <w:left w:val="none" w:sz="0" w:space="0" w:color="auto"/>
            <w:bottom w:val="none" w:sz="0" w:space="0" w:color="auto"/>
            <w:right w:val="none" w:sz="0" w:space="0" w:color="auto"/>
          </w:divBdr>
        </w:div>
        <w:div w:id="208616884">
          <w:marLeft w:val="0"/>
          <w:marRight w:val="0"/>
          <w:marTop w:val="0"/>
          <w:marBottom w:val="0"/>
          <w:divBdr>
            <w:top w:val="none" w:sz="0" w:space="0" w:color="auto"/>
            <w:left w:val="none" w:sz="0" w:space="0" w:color="auto"/>
            <w:bottom w:val="none" w:sz="0" w:space="0" w:color="auto"/>
            <w:right w:val="none" w:sz="0" w:space="0" w:color="auto"/>
          </w:divBdr>
        </w:div>
        <w:div w:id="1187019866">
          <w:marLeft w:val="0"/>
          <w:marRight w:val="0"/>
          <w:marTop w:val="0"/>
          <w:marBottom w:val="0"/>
          <w:divBdr>
            <w:top w:val="none" w:sz="0" w:space="0" w:color="auto"/>
            <w:left w:val="none" w:sz="0" w:space="0" w:color="auto"/>
            <w:bottom w:val="none" w:sz="0" w:space="0" w:color="auto"/>
            <w:right w:val="none" w:sz="0" w:space="0" w:color="auto"/>
          </w:divBdr>
        </w:div>
        <w:div w:id="1173490806">
          <w:marLeft w:val="0"/>
          <w:marRight w:val="0"/>
          <w:marTop w:val="0"/>
          <w:marBottom w:val="0"/>
          <w:divBdr>
            <w:top w:val="none" w:sz="0" w:space="0" w:color="auto"/>
            <w:left w:val="none" w:sz="0" w:space="0" w:color="auto"/>
            <w:bottom w:val="none" w:sz="0" w:space="0" w:color="auto"/>
            <w:right w:val="none" w:sz="0" w:space="0" w:color="auto"/>
          </w:divBdr>
        </w:div>
        <w:div w:id="229077129">
          <w:marLeft w:val="0"/>
          <w:marRight w:val="0"/>
          <w:marTop w:val="0"/>
          <w:marBottom w:val="0"/>
          <w:divBdr>
            <w:top w:val="none" w:sz="0" w:space="0" w:color="auto"/>
            <w:left w:val="none" w:sz="0" w:space="0" w:color="auto"/>
            <w:bottom w:val="none" w:sz="0" w:space="0" w:color="auto"/>
            <w:right w:val="none" w:sz="0" w:space="0" w:color="auto"/>
          </w:divBdr>
        </w:div>
        <w:div w:id="1479035079">
          <w:marLeft w:val="0"/>
          <w:marRight w:val="0"/>
          <w:marTop w:val="0"/>
          <w:marBottom w:val="0"/>
          <w:divBdr>
            <w:top w:val="none" w:sz="0" w:space="0" w:color="auto"/>
            <w:left w:val="none" w:sz="0" w:space="0" w:color="auto"/>
            <w:bottom w:val="none" w:sz="0" w:space="0" w:color="auto"/>
            <w:right w:val="none" w:sz="0" w:space="0" w:color="auto"/>
          </w:divBdr>
        </w:div>
        <w:div w:id="226183321">
          <w:marLeft w:val="0"/>
          <w:marRight w:val="0"/>
          <w:marTop w:val="0"/>
          <w:marBottom w:val="0"/>
          <w:divBdr>
            <w:top w:val="none" w:sz="0" w:space="0" w:color="auto"/>
            <w:left w:val="none" w:sz="0" w:space="0" w:color="auto"/>
            <w:bottom w:val="none" w:sz="0" w:space="0" w:color="auto"/>
            <w:right w:val="none" w:sz="0" w:space="0" w:color="auto"/>
          </w:divBdr>
        </w:div>
        <w:div w:id="753212050">
          <w:marLeft w:val="0"/>
          <w:marRight w:val="0"/>
          <w:marTop w:val="0"/>
          <w:marBottom w:val="0"/>
          <w:divBdr>
            <w:top w:val="none" w:sz="0" w:space="0" w:color="auto"/>
            <w:left w:val="none" w:sz="0" w:space="0" w:color="auto"/>
            <w:bottom w:val="none" w:sz="0" w:space="0" w:color="auto"/>
            <w:right w:val="none" w:sz="0" w:space="0" w:color="auto"/>
          </w:divBdr>
        </w:div>
        <w:div w:id="1847665941">
          <w:marLeft w:val="0"/>
          <w:marRight w:val="0"/>
          <w:marTop w:val="0"/>
          <w:marBottom w:val="0"/>
          <w:divBdr>
            <w:top w:val="none" w:sz="0" w:space="0" w:color="auto"/>
            <w:left w:val="none" w:sz="0" w:space="0" w:color="auto"/>
            <w:bottom w:val="none" w:sz="0" w:space="0" w:color="auto"/>
            <w:right w:val="none" w:sz="0" w:space="0" w:color="auto"/>
          </w:divBdr>
        </w:div>
        <w:div w:id="477184113">
          <w:marLeft w:val="0"/>
          <w:marRight w:val="0"/>
          <w:marTop w:val="0"/>
          <w:marBottom w:val="0"/>
          <w:divBdr>
            <w:top w:val="none" w:sz="0" w:space="0" w:color="auto"/>
            <w:left w:val="none" w:sz="0" w:space="0" w:color="auto"/>
            <w:bottom w:val="none" w:sz="0" w:space="0" w:color="auto"/>
            <w:right w:val="none" w:sz="0" w:space="0" w:color="auto"/>
          </w:divBdr>
        </w:div>
        <w:div w:id="1007757645">
          <w:marLeft w:val="0"/>
          <w:marRight w:val="0"/>
          <w:marTop w:val="0"/>
          <w:marBottom w:val="0"/>
          <w:divBdr>
            <w:top w:val="none" w:sz="0" w:space="0" w:color="auto"/>
            <w:left w:val="none" w:sz="0" w:space="0" w:color="auto"/>
            <w:bottom w:val="none" w:sz="0" w:space="0" w:color="auto"/>
            <w:right w:val="none" w:sz="0" w:space="0" w:color="auto"/>
          </w:divBdr>
        </w:div>
        <w:div w:id="2110394323">
          <w:marLeft w:val="0"/>
          <w:marRight w:val="0"/>
          <w:marTop w:val="0"/>
          <w:marBottom w:val="0"/>
          <w:divBdr>
            <w:top w:val="none" w:sz="0" w:space="0" w:color="auto"/>
            <w:left w:val="none" w:sz="0" w:space="0" w:color="auto"/>
            <w:bottom w:val="none" w:sz="0" w:space="0" w:color="auto"/>
            <w:right w:val="none" w:sz="0" w:space="0" w:color="auto"/>
          </w:divBdr>
        </w:div>
        <w:div w:id="758521850">
          <w:marLeft w:val="0"/>
          <w:marRight w:val="0"/>
          <w:marTop w:val="0"/>
          <w:marBottom w:val="0"/>
          <w:divBdr>
            <w:top w:val="none" w:sz="0" w:space="0" w:color="auto"/>
            <w:left w:val="none" w:sz="0" w:space="0" w:color="auto"/>
            <w:bottom w:val="none" w:sz="0" w:space="0" w:color="auto"/>
            <w:right w:val="none" w:sz="0" w:space="0" w:color="auto"/>
          </w:divBdr>
        </w:div>
        <w:div w:id="1307861515">
          <w:marLeft w:val="0"/>
          <w:marRight w:val="0"/>
          <w:marTop w:val="0"/>
          <w:marBottom w:val="0"/>
          <w:divBdr>
            <w:top w:val="none" w:sz="0" w:space="0" w:color="auto"/>
            <w:left w:val="none" w:sz="0" w:space="0" w:color="auto"/>
            <w:bottom w:val="none" w:sz="0" w:space="0" w:color="auto"/>
            <w:right w:val="none" w:sz="0" w:space="0" w:color="auto"/>
          </w:divBdr>
        </w:div>
        <w:div w:id="1424689041">
          <w:marLeft w:val="0"/>
          <w:marRight w:val="0"/>
          <w:marTop w:val="0"/>
          <w:marBottom w:val="0"/>
          <w:divBdr>
            <w:top w:val="none" w:sz="0" w:space="0" w:color="auto"/>
            <w:left w:val="none" w:sz="0" w:space="0" w:color="auto"/>
            <w:bottom w:val="none" w:sz="0" w:space="0" w:color="auto"/>
            <w:right w:val="none" w:sz="0" w:space="0" w:color="auto"/>
          </w:divBdr>
        </w:div>
        <w:div w:id="1293561393">
          <w:marLeft w:val="0"/>
          <w:marRight w:val="0"/>
          <w:marTop w:val="0"/>
          <w:marBottom w:val="0"/>
          <w:divBdr>
            <w:top w:val="none" w:sz="0" w:space="0" w:color="auto"/>
            <w:left w:val="none" w:sz="0" w:space="0" w:color="auto"/>
            <w:bottom w:val="none" w:sz="0" w:space="0" w:color="auto"/>
            <w:right w:val="none" w:sz="0" w:space="0" w:color="auto"/>
          </w:divBdr>
        </w:div>
        <w:div w:id="294483727">
          <w:marLeft w:val="0"/>
          <w:marRight w:val="0"/>
          <w:marTop w:val="0"/>
          <w:marBottom w:val="0"/>
          <w:divBdr>
            <w:top w:val="none" w:sz="0" w:space="0" w:color="auto"/>
            <w:left w:val="none" w:sz="0" w:space="0" w:color="auto"/>
            <w:bottom w:val="none" w:sz="0" w:space="0" w:color="auto"/>
            <w:right w:val="none" w:sz="0" w:space="0" w:color="auto"/>
          </w:divBdr>
        </w:div>
        <w:div w:id="395934432">
          <w:marLeft w:val="0"/>
          <w:marRight w:val="0"/>
          <w:marTop w:val="0"/>
          <w:marBottom w:val="0"/>
          <w:divBdr>
            <w:top w:val="none" w:sz="0" w:space="0" w:color="auto"/>
            <w:left w:val="none" w:sz="0" w:space="0" w:color="auto"/>
            <w:bottom w:val="none" w:sz="0" w:space="0" w:color="auto"/>
            <w:right w:val="none" w:sz="0" w:space="0" w:color="auto"/>
          </w:divBdr>
        </w:div>
        <w:div w:id="590048121">
          <w:marLeft w:val="0"/>
          <w:marRight w:val="0"/>
          <w:marTop w:val="0"/>
          <w:marBottom w:val="0"/>
          <w:divBdr>
            <w:top w:val="none" w:sz="0" w:space="0" w:color="auto"/>
            <w:left w:val="none" w:sz="0" w:space="0" w:color="auto"/>
            <w:bottom w:val="none" w:sz="0" w:space="0" w:color="auto"/>
            <w:right w:val="none" w:sz="0" w:space="0" w:color="auto"/>
          </w:divBdr>
        </w:div>
        <w:div w:id="782117120">
          <w:marLeft w:val="0"/>
          <w:marRight w:val="0"/>
          <w:marTop w:val="0"/>
          <w:marBottom w:val="0"/>
          <w:divBdr>
            <w:top w:val="none" w:sz="0" w:space="0" w:color="auto"/>
            <w:left w:val="none" w:sz="0" w:space="0" w:color="auto"/>
            <w:bottom w:val="none" w:sz="0" w:space="0" w:color="auto"/>
            <w:right w:val="none" w:sz="0" w:space="0" w:color="auto"/>
          </w:divBdr>
        </w:div>
        <w:div w:id="118191003">
          <w:marLeft w:val="0"/>
          <w:marRight w:val="0"/>
          <w:marTop w:val="0"/>
          <w:marBottom w:val="0"/>
          <w:divBdr>
            <w:top w:val="none" w:sz="0" w:space="0" w:color="auto"/>
            <w:left w:val="none" w:sz="0" w:space="0" w:color="auto"/>
            <w:bottom w:val="none" w:sz="0" w:space="0" w:color="auto"/>
            <w:right w:val="none" w:sz="0" w:space="0" w:color="auto"/>
          </w:divBdr>
        </w:div>
        <w:div w:id="428501770">
          <w:marLeft w:val="0"/>
          <w:marRight w:val="0"/>
          <w:marTop w:val="0"/>
          <w:marBottom w:val="0"/>
          <w:divBdr>
            <w:top w:val="none" w:sz="0" w:space="0" w:color="auto"/>
            <w:left w:val="none" w:sz="0" w:space="0" w:color="auto"/>
            <w:bottom w:val="none" w:sz="0" w:space="0" w:color="auto"/>
            <w:right w:val="none" w:sz="0" w:space="0" w:color="auto"/>
          </w:divBdr>
        </w:div>
        <w:div w:id="266010824">
          <w:marLeft w:val="0"/>
          <w:marRight w:val="0"/>
          <w:marTop w:val="0"/>
          <w:marBottom w:val="0"/>
          <w:divBdr>
            <w:top w:val="none" w:sz="0" w:space="0" w:color="auto"/>
            <w:left w:val="none" w:sz="0" w:space="0" w:color="auto"/>
            <w:bottom w:val="none" w:sz="0" w:space="0" w:color="auto"/>
            <w:right w:val="none" w:sz="0" w:space="0" w:color="auto"/>
          </w:divBdr>
        </w:div>
        <w:div w:id="6713533">
          <w:marLeft w:val="0"/>
          <w:marRight w:val="0"/>
          <w:marTop w:val="0"/>
          <w:marBottom w:val="0"/>
          <w:divBdr>
            <w:top w:val="none" w:sz="0" w:space="0" w:color="auto"/>
            <w:left w:val="none" w:sz="0" w:space="0" w:color="auto"/>
            <w:bottom w:val="none" w:sz="0" w:space="0" w:color="auto"/>
            <w:right w:val="none" w:sz="0" w:space="0" w:color="auto"/>
          </w:divBdr>
        </w:div>
        <w:div w:id="668562539">
          <w:marLeft w:val="0"/>
          <w:marRight w:val="0"/>
          <w:marTop w:val="0"/>
          <w:marBottom w:val="0"/>
          <w:divBdr>
            <w:top w:val="none" w:sz="0" w:space="0" w:color="auto"/>
            <w:left w:val="none" w:sz="0" w:space="0" w:color="auto"/>
            <w:bottom w:val="none" w:sz="0" w:space="0" w:color="auto"/>
            <w:right w:val="none" w:sz="0" w:space="0" w:color="auto"/>
          </w:divBdr>
        </w:div>
        <w:div w:id="1461144520">
          <w:marLeft w:val="0"/>
          <w:marRight w:val="0"/>
          <w:marTop w:val="0"/>
          <w:marBottom w:val="0"/>
          <w:divBdr>
            <w:top w:val="none" w:sz="0" w:space="0" w:color="auto"/>
            <w:left w:val="none" w:sz="0" w:space="0" w:color="auto"/>
            <w:bottom w:val="none" w:sz="0" w:space="0" w:color="auto"/>
            <w:right w:val="none" w:sz="0" w:space="0" w:color="auto"/>
          </w:divBdr>
        </w:div>
        <w:div w:id="1456481244">
          <w:marLeft w:val="0"/>
          <w:marRight w:val="0"/>
          <w:marTop w:val="0"/>
          <w:marBottom w:val="0"/>
          <w:divBdr>
            <w:top w:val="none" w:sz="0" w:space="0" w:color="auto"/>
            <w:left w:val="none" w:sz="0" w:space="0" w:color="auto"/>
            <w:bottom w:val="none" w:sz="0" w:space="0" w:color="auto"/>
            <w:right w:val="none" w:sz="0" w:space="0" w:color="auto"/>
          </w:divBdr>
        </w:div>
        <w:div w:id="1119379357">
          <w:marLeft w:val="0"/>
          <w:marRight w:val="0"/>
          <w:marTop w:val="0"/>
          <w:marBottom w:val="0"/>
          <w:divBdr>
            <w:top w:val="none" w:sz="0" w:space="0" w:color="auto"/>
            <w:left w:val="none" w:sz="0" w:space="0" w:color="auto"/>
            <w:bottom w:val="none" w:sz="0" w:space="0" w:color="auto"/>
            <w:right w:val="none" w:sz="0" w:space="0" w:color="auto"/>
          </w:divBdr>
        </w:div>
        <w:div w:id="1043217140">
          <w:marLeft w:val="0"/>
          <w:marRight w:val="0"/>
          <w:marTop w:val="0"/>
          <w:marBottom w:val="0"/>
          <w:divBdr>
            <w:top w:val="none" w:sz="0" w:space="0" w:color="auto"/>
            <w:left w:val="none" w:sz="0" w:space="0" w:color="auto"/>
            <w:bottom w:val="none" w:sz="0" w:space="0" w:color="auto"/>
            <w:right w:val="none" w:sz="0" w:space="0" w:color="auto"/>
          </w:divBdr>
        </w:div>
        <w:div w:id="745956112">
          <w:marLeft w:val="0"/>
          <w:marRight w:val="0"/>
          <w:marTop w:val="0"/>
          <w:marBottom w:val="0"/>
          <w:divBdr>
            <w:top w:val="none" w:sz="0" w:space="0" w:color="auto"/>
            <w:left w:val="none" w:sz="0" w:space="0" w:color="auto"/>
            <w:bottom w:val="none" w:sz="0" w:space="0" w:color="auto"/>
            <w:right w:val="none" w:sz="0" w:space="0" w:color="auto"/>
          </w:divBdr>
        </w:div>
        <w:div w:id="212238012">
          <w:marLeft w:val="0"/>
          <w:marRight w:val="0"/>
          <w:marTop w:val="0"/>
          <w:marBottom w:val="0"/>
          <w:divBdr>
            <w:top w:val="none" w:sz="0" w:space="0" w:color="auto"/>
            <w:left w:val="none" w:sz="0" w:space="0" w:color="auto"/>
            <w:bottom w:val="none" w:sz="0" w:space="0" w:color="auto"/>
            <w:right w:val="none" w:sz="0" w:space="0" w:color="auto"/>
          </w:divBdr>
        </w:div>
        <w:div w:id="510339582">
          <w:marLeft w:val="0"/>
          <w:marRight w:val="0"/>
          <w:marTop w:val="0"/>
          <w:marBottom w:val="0"/>
          <w:divBdr>
            <w:top w:val="none" w:sz="0" w:space="0" w:color="auto"/>
            <w:left w:val="none" w:sz="0" w:space="0" w:color="auto"/>
            <w:bottom w:val="none" w:sz="0" w:space="0" w:color="auto"/>
            <w:right w:val="none" w:sz="0" w:space="0" w:color="auto"/>
          </w:divBdr>
        </w:div>
        <w:div w:id="238757534">
          <w:marLeft w:val="0"/>
          <w:marRight w:val="0"/>
          <w:marTop w:val="0"/>
          <w:marBottom w:val="0"/>
          <w:divBdr>
            <w:top w:val="none" w:sz="0" w:space="0" w:color="auto"/>
            <w:left w:val="none" w:sz="0" w:space="0" w:color="auto"/>
            <w:bottom w:val="none" w:sz="0" w:space="0" w:color="auto"/>
            <w:right w:val="none" w:sz="0" w:space="0" w:color="auto"/>
          </w:divBdr>
        </w:div>
        <w:div w:id="64957258">
          <w:marLeft w:val="0"/>
          <w:marRight w:val="0"/>
          <w:marTop w:val="0"/>
          <w:marBottom w:val="0"/>
          <w:divBdr>
            <w:top w:val="none" w:sz="0" w:space="0" w:color="auto"/>
            <w:left w:val="none" w:sz="0" w:space="0" w:color="auto"/>
            <w:bottom w:val="none" w:sz="0" w:space="0" w:color="auto"/>
            <w:right w:val="none" w:sz="0" w:space="0" w:color="auto"/>
          </w:divBdr>
        </w:div>
        <w:div w:id="1152869696">
          <w:marLeft w:val="0"/>
          <w:marRight w:val="0"/>
          <w:marTop w:val="0"/>
          <w:marBottom w:val="0"/>
          <w:divBdr>
            <w:top w:val="none" w:sz="0" w:space="0" w:color="auto"/>
            <w:left w:val="none" w:sz="0" w:space="0" w:color="auto"/>
            <w:bottom w:val="none" w:sz="0" w:space="0" w:color="auto"/>
            <w:right w:val="none" w:sz="0" w:space="0" w:color="auto"/>
          </w:divBdr>
        </w:div>
        <w:div w:id="1842427469">
          <w:marLeft w:val="0"/>
          <w:marRight w:val="0"/>
          <w:marTop w:val="0"/>
          <w:marBottom w:val="0"/>
          <w:divBdr>
            <w:top w:val="none" w:sz="0" w:space="0" w:color="auto"/>
            <w:left w:val="none" w:sz="0" w:space="0" w:color="auto"/>
            <w:bottom w:val="none" w:sz="0" w:space="0" w:color="auto"/>
            <w:right w:val="none" w:sz="0" w:space="0" w:color="auto"/>
          </w:divBdr>
        </w:div>
        <w:div w:id="760414962">
          <w:marLeft w:val="0"/>
          <w:marRight w:val="0"/>
          <w:marTop w:val="0"/>
          <w:marBottom w:val="0"/>
          <w:divBdr>
            <w:top w:val="none" w:sz="0" w:space="0" w:color="auto"/>
            <w:left w:val="none" w:sz="0" w:space="0" w:color="auto"/>
            <w:bottom w:val="none" w:sz="0" w:space="0" w:color="auto"/>
            <w:right w:val="none" w:sz="0" w:space="0" w:color="auto"/>
          </w:divBdr>
        </w:div>
        <w:div w:id="2008821364">
          <w:marLeft w:val="0"/>
          <w:marRight w:val="0"/>
          <w:marTop w:val="0"/>
          <w:marBottom w:val="0"/>
          <w:divBdr>
            <w:top w:val="none" w:sz="0" w:space="0" w:color="auto"/>
            <w:left w:val="none" w:sz="0" w:space="0" w:color="auto"/>
            <w:bottom w:val="none" w:sz="0" w:space="0" w:color="auto"/>
            <w:right w:val="none" w:sz="0" w:space="0" w:color="auto"/>
          </w:divBdr>
        </w:div>
        <w:div w:id="486019665">
          <w:marLeft w:val="0"/>
          <w:marRight w:val="0"/>
          <w:marTop w:val="0"/>
          <w:marBottom w:val="0"/>
          <w:divBdr>
            <w:top w:val="none" w:sz="0" w:space="0" w:color="auto"/>
            <w:left w:val="none" w:sz="0" w:space="0" w:color="auto"/>
            <w:bottom w:val="none" w:sz="0" w:space="0" w:color="auto"/>
            <w:right w:val="none" w:sz="0" w:space="0" w:color="auto"/>
          </w:divBdr>
        </w:div>
        <w:div w:id="770441958">
          <w:marLeft w:val="0"/>
          <w:marRight w:val="0"/>
          <w:marTop w:val="0"/>
          <w:marBottom w:val="0"/>
          <w:divBdr>
            <w:top w:val="none" w:sz="0" w:space="0" w:color="auto"/>
            <w:left w:val="none" w:sz="0" w:space="0" w:color="auto"/>
            <w:bottom w:val="none" w:sz="0" w:space="0" w:color="auto"/>
            <w:right w:val="none" w:sz="0" w:space="0" w:color="auto"/>
          </w:divBdr>
        </w:div>
        <w:div w:id="943730509">
          <w:marLeft w:val="0"/>
          <w:marRight w:val="0"/>
          <w:marTop w:val="0"/>
          <w:marBottom w:val="0"/>
          <w:divBdr>
            <w:top w:val="none" w:sz="0" w:space="0" w:color="auto"/>
            <w:left w:val="none" w:sz="0" w:space="0" w:color="auto"/>
            <w:bottom w:val="none" w:sz="0" w:space="0" w:color="auto"/>
            <w:right w:val="none" w:sz="0" w:space="0" w:color="auto"/>
          </w:divBdr>
        </w:div>
        <w:div w:id="688798373">
          <w:marLeft w:val="0"/>
          <w:marRight w:val="0"/>
          <w:marTop w:val="0"/>
          <w:marBottom w:val="0"/>
          <w:divBdr>
            <w:top w:val="none" w:sz="0" w:space="0" w:color="auto"/>
            <w:left w:val="none" w:sz="0" w:space="0" w:color="auto"/>
            <w:bottom w:val="none" w:sz="0" w:space="0" w:color="auto"/>
            <w:right w:val="none" w:sz="0" w:space="0" w:color="auto"/>
          </w:divBdr>
        </w:div>
        <w:div w:id="1724284077">
          <w:marLeft w:val="0"/>
          <w:marRight w:val="0"/>
          <w:marTop w:val="0"/>
          <w:marBottom w:val="0"/>
          <w:divBdr>
            <w:top w:val="none" w:sz="0" w:space="0" w:color="auto"/>
            <w:left w:val="none" w:sz="0" w:space="0" w:color="auto"/>
            <w:bottom w:val="none" w:sz="0" w:space="0" w:color="auto"/>
            <w:right w:val="none" w:sz="0" w:space="0" w:color="auto"/>
          </w:divBdr>
        </w:div>
        <w:div w:id="403142424">
          <w:marLeft w:val="0"/>
          <w:marRight w:val="0"/>
          <w:marTop w:val="0"/>
          <w:marBottom w:val="0"/>
          <w:divBdr>
            <w:top w:val="none" w:sz="0" w:space="0" w:color="auto"/>
            <w:left w:val="none" w:sz="0" w:space="0" w:color="auto"/>
            <w:bottom w:val="none" w:sz="0" w:space="0" w:color="auto"/>
            <w:right w:val="none" w:sz="0" w:space="0" w:color="auto"/>
          </w:divBdr>
        </w:div>
        <w:div w:id="67118313">
          <w:marLeft w:val="0"/>
          <w:marRight w:val="0"/>
          <w:marTop w:val="0"/>
          <w:marBottom w:val="0"/>
          <w:divBdr>
            <w:top w:val="none" w:sz="0" w:space="0" w:color="auto"/>
            <w:left w:val="none" w:sz="0" w:space="0" w:color="auto"/>
            <w:bottom w:val="none" w:sz="0" w:space="0" w:color="auto"/>
            <w:right w:val="none" w:sz="0" w:space="0" w:color="auto"/>
          </w:divBdr>
        </w:div>
        <w:div w:id="412051234">
          <w:marLeft w:val="0"/>
          <w:marRight w:val="0"/>
          <w:marTop w:val="0"/>
          <w:marBottom w:val="0"/>
          <w:divBdr>
            <w:top w:val="none" w:sz="0" w:space="0" w:color="auto"/>
            <w:left w:val="none" w:sz="0" w:space="0" w:color="auto"/>
            <w:bottom w:val="none" w:sz="0" w:space="0" w:color="auto"/>
            <w:right w:val="none" w:sz="0" w:space="0" w:color="auto"/>
          </w:divBdr>
        </w:div>
        <w:div w:id="1016421210">
          <w:marLeft w:val="0"/>
          <w:marRight w:val="0"/>
          <w:marTop w:val="0"/>
          <w:marBottom w:val="0"/>
          <w:divBdr>
            <w:top w:val="none" w:sz="0" w:space="0" w:color="auto"/>
            <w:left w:val="none" w:sz="0" w:space="0" w:color="auto"/>
            <w:bottom w:val="none" w:sz="0" w:space="0" w:color="auto"/>
            <w:right w:val="none" w:sz="0" w:space="0" w:color="auto"/>
          </w:divBdr>
        </w:div>
        <w:div w:id="972175480">
          <w:marLeft w:val="0"/>
          <w:marRight w:val="0"/>
          <w:marTop w:val="0"/>
          <w:marBottom w:val="0"/>
          <w:divBdr>
            <w:top w:val="none" w:sz="0" w:space="0" w:color="auto"/>
            <w:left w:val="none" w:sz="0" w:space="0" w:color="auto"/>
            <w:bottom w:val="none" w:sz="0" w:space="0" w:color="auto"/>
            <w:right w:val="none" w:sz="0" w:space="0" w:color="auto"/>
          </w:divBdr>
        </w:div>
        <w:div w:id="1745881940">
          <w:marLeft w:val="0"/>
          <w:marRight w:val="0"/>
          <w:marTop w:val="0"/>
          <w:marBottom w:val="0"/>
          <w:divBdr>
            <w:top w:val="none" w:sz="0" w:space="0" w:color="auto"/>
            <w:left w:val="none" w:sz="0" w:space="0" w:color="auto"/>
            <w:bottom w:val="none" w:sz="0" w:space="0" w:color="auto"/>
            <w:right w:val="none" w:sz="0" w:space="0" w:color="auto"/>
          </w:divBdr>
        </w:div>
        <w:div w:id="685835991">
          <w:marLeft w:val="0"/>
          <w:marRight w:val="0"/>
          <w:marTop w:val="0"/>
          <w:marBottom w:val="0"/>
          <w:divBdr>
            <w:top w:val="none" w:sz="0" w:space="0" w:color="auto"/>
            <w:left w:val="none" w:sz="0" w:space="0" w:color="auto"/>
            <w:bottom w:val="none" w:sz="0" w:space="0" w:color="auto"/>
            <w:right w:val="none" w:sz="0" w:space="0" w:color="auto"/>
          </w:divBdr>
        </w:div>
        <w:div w:id="28916816">
          <w:marLeft w:val="0"/>
          <w:marRight w:val="0"/>
          <w:marTop w:val="0"/>
          <w:marBottom w:val="0"/>
          <w:divBdr>
            <w:top w:val="none" w:sz="0" w:space="0" w:color="auto"/>
            <w:left w:val="none" w:sz="0" w:space="0" w:color="auto"/>
            <w:bottom w:val="none" w:sz="0" w:space="0" w:color="auto"/>
            <w:right w:val="none" w:sz="0" w:space="0" w:color="auto"/>
          </w:divBdr>
        </w:div>
        <w:div w:id="1821919985">
          <w:marLeft w:val="0"/>
          <w:marRight w:val="0"/>
          <w:marTop w:val="0"/>
          <w:marBottom w:val="0"/>
          <w:divBdr>
            <w:top w:val="none" w:sz="0" w:space="0" w:color="auto"/>
            <w:left w:val="none" w:sz="0" w:space="0" w:color="auto"/>
            <w:bottom w:val="none" w:sz="0" w:space="0" w:color="auto"/>
            <w:right w:val="none" w:sz="0" w:space="0" w:color="auto"/>
          </w:divBdr>
        </w:div>
        <w:div w:id="241720342">
          <w:marLeft w:val="0"/>
          <w:marRight w:val="0"/>
          <w:marTop w:val="0"/>
          <w:marBottom w:val="0"/>
          <w:divBdr>
            <w:top w:val="none" w:sz="0" w:space="0" w:color="auto"/>
            <w:left w:val="none" w:sz="0" w:space="0" w:color="auto"/>
            <w:bottom w:val="none" w:sz="0" w:space="0" w:color="auto"/>
            <w:right w:val="none" w:sz="0" w:space="0" w:color="auto"/>
          </w:divBdr>
        </w:div>
        <w:div w:id="1530944827">
          <w:marLeft w:val="0"/>
          <w:marRight w:val="0"/>
          <w:marTop w:val="0"/>
          <w:marBottom w:val="0"/>
          <w:divBdr>
            <w:top w:val="none" w:sz="0" w:space="0" w:color="auto"/>
            <w:left w:val="none" w:sz="0" w:space="0" w:color="auto"/>
            <w:bottom w:val="none" w:sz="0" w:space="0" w:color="auto"/>
            <w:right w:val="none" w:sz="0" w:space="0" w:color="auto"/>
          </w:divBdr>
        </w:div>
        <w:div w:id="862934764">
          <w:marLeft w:val="0"/>
          <w:marRight w:val="0"/>
          <w:marTop w:val="0"/>
          <w:marBottom w:val="0"/>
          <w:divBdr>
            <w:top w:val="none" w:sz="0" w:space="0" w:color="auto"/>
            <w:left w:val="none" w:sz="0" w:space="0" w:color="auto"/>
            <w:bottom w:val="none" w:sz="0" w:space="0" w:color="auto"/>
            <w:right w:val="none" w:sz="0" w:space="0" w:color="auto"/>
          </w:divBdr>
        </w:div>
        <w:div w:id="1276131793">
          <w:marLeft w:val="0"/>
          <w:marRight w:val="0"/>
          <w:marTop w:val="0"/>
          <w:marBottom w:val="0"/>
          <w:divBdr>
            <w:top w:val="none" w:sz="0" w:space="0" w:color="auto"/>
            <w:left w:val="none" w:sz="0" w:space="0" w:color="auto"/>
            <w:bottom w:val="none" w:sz="0" w:space="0" w:color="auto"/>
            <w:right w:val="none" w:sz="0" w:space="0" w:color="auto"/>
          </w:divBdr>
        </w:div>
        <w:div w:id="611084752">
          <w:marLeft w:val="0"/>
          <w:marRight w:val="0"/>
          <w:marTop w:val="0"/>
          <w:marBottom w:val="0"/>
          <w:divBdr>
            <w:top w:val="none" w:sz="0" w:space="0" w:color="auto"/>
            <w:left w:val="none" w:sz="0" w:space="0" w:color="auto"/>
            <w:bottom w:val="none" w:sz="0" w:space="0" w:color="auto"/>
            <w:right w:val="none" w:sz="0" w:space="0" w:color="auto"/>
          </w:divBdr>
        </w:div>
        <w:div w:id="57677736">
          <w:marLeft w:val="0"/>
          <w:marRight w:val="0"/>
          <w:marTop w:val="0"/>
          <w:marBottom w:val="0"/>
          <w:divBdr>
            <w:top w:val="none" w:sz="0" w:space="0" w:color="auto"/>
            <w:left w:val="none" w:sz="0" w:space="0" w:color="auto"/>
            <w:bottom w:val="none" w:sz="0" w:space="0" w:color="auto"/>
            <w:right w:val="none" w:sz="0" w:space="0" w:color="auto"/>
          </w:divBdr>
        </w:div>
        <w:div w:id="84308172">
          <w:marLeft w:val="0"/>
          <w:marRight w:val="0"/>
          <w:marTop w:val="0"/>
          <w:marBottom w:val="0"/>
          <w:divBdr>
            <w:top w:val="none" w:sz="0" w:space="0" w:color="auto"/>
            <w:left w:val="none" w:sz="0" w:space="0" w:color="auto"/>
            <w:bottom w:val="none" w:sz="0" w:space="0" w:color="auto"/>
            <w:right w:val="none" w:sz="0" w:space="0" w:color="auto"/>
          </w:divBdr>
        </w:div>
        <w:div w:id="1737703799">
          <w:marLeft w:val="0"/>
          <w:marRight w:val="0"/>
          <w:marTop w:val="0"/>
          <w:marBottom w:val="0"/>
          <w:divBdr>
            <w:top w:val="none" w:sz="0" w:space="0" w:color="auto"/>
            <w:left w:val="none" w:sz="0" w:space="0" w:color="auto"/>
            <w:bottom w:val="none" w:sz="0" w:space="0" w:color="auto"/>
            <w:right w:val="none" w:sz="0" w:space="0" w:color="auto"/>
          </w:divBdr>
        </w:div>
        <w:div w:id="235437789">
          <w:marLeft w:val="0"/>
          <w:marRight w:val="0"/>
          <w:marTop w:val="0"/>
          <w:marBottom w:val="0"/>
          <w:divBdr>
            <w:top w:val="none" w:sz="0" w:space="0" w:color="auto"/>
            <w:left w:val="none" w:sz="0" w:space="0" w:color="auto"/>
            <w:bottom w:val="none" w:sz="0" w:space="0" w:color="auto"/>
            <w:right w:val="none" w:sz="0" w:space="0" w:color="auto"/>
          </w:divBdr>
        </w:div>
        <w:div w:id="237371696">
          <w:marLeft w:val="0"/>
          <w:marRight w:val="0"/>
          <w:marTop w:val="0"/>
          <w:marBottom w:val="0"/>
          <w:divBdr>
            <w:top w:val="none" w:sz="0" w:space="0" w:color="auto"/>
            <w:left w:val="none" w:sz="0" w:space="0" w:color="auto"/>
            <w:bottom w:val="none" w:sz="0" w:space="0" w:color="auto"/>
            <w:right w:val="none" w:sz="0" w:space="0" w:color="auto"/>
          </w:divBdr>
        </w:div>
        <w:div w:id="309672163">
          <w:marLeft w:val="0"/>
          <w:marRight w:val="0"/>
          <w:marTop w:val="0"/>
          <w:marBottom w:val="0"/>
          <w:divBdr>
            <w:top w:val="none" w:sz="0" w:space="0" w:color="auto"/>
            <w:left w:val="none" w:sz="0" w:space="0" w:color="auto"/>
            <w:bottom w:val="none" w:sz="0" w:space="0" w:color="auto"/>
            <w:right w:val="none" w:sz="0" w:space="0" w:color="auto"/>
          </w:divBdr>
        </w:div>
        <w:div w:id="2131439386">
          <w:marLeft w:val="0"/>
          <w:marRight w:val="0"/>
          <w:marTop w:val="0"/>
          <w:marBottom w:val="0"/>
          <w:divBdr>
            <w:top w:val="none" w:sz="0" w:space="0" w:color="auto"/>
            <w:left w:val="none" w:sz="0" w:space="0" w:color="auto"/>
            <w:bottom w:val="none" w:sz="0" w:space="0" w:color="auto"/>
            <w:right w:val="none" w:sz="0" w:space="0" w:color="auto"/>
          </w:divBdr>
        </w:div>
        <w:div w:id="282347132">
          <w:marLeft w:val="0"/>
          <w:marRight w:val="0"/>
          <w:marTop w:val="0"/>
          <w:marBottom w:val="0"/>
          <w:divBdr>
            <w:top w:val="none" w:sz="0" w:space="0" w:color="auto"/>
            <w:left w:val="none" w:sz="0" w:space="0" w:color="auto"/>
            <w:bottom w:val="none" w:sz="0" w:space="0" w:color="auto"/>
            <w:right w:val="none" w:sz="0" w:space="0" w:color="auto"/>
          </w:divBdr>
        </w:div>
        <w:div w:id="800345143">
          <w:marLeft w:val="0"/>
          <w:marRight w:val="0"/>
          <w:marTop w:val="0"/>
          <w:marBottom w:val="0"/>
          <w:divBdr>
            <w:top w:val="none" w:sz="0" w:space="0" w:color="auto"/>
            <w:left w:val="none" w:sz="0" w:space="0" w:color="auto"/>
            <w:bottom w:val="none" w:sz="0" w:space="0" w:color="auto"/>
            <w:right w:val="none" w:sz="0" w:space="0" w:color="auto"/>
          </w:divBdr>
        </w:div>
        <w:div w:id="1736583825">
          <w:marLeft w:val="0"/>
          <w:marRight w:val="0"/>
          <w:marTop w:val="0"/>
          <w:marBottom w:val="0"/>
          <w:divBdr>
            <w:top w:val="none" w:sz="0" w:space="0" w:color="auto"/>
            <w:left w:val="none" w:sz="0" w:space="0" w:color="auto"/>
            <w:bottom w:val="none" w:sz="0" w:space="0" w:color="auto"/>
            <w:right w:val="none" w:sz="0" w:space="0" w:color="auto"/>
          </w:divBdr>
        </w:div>
        <w:div w:id="173497474">
          <w:marLeft w:val="0"/>
          <w:marRight w:val="0"/>
          <w:marTop w:val="0"/>
          <w:marBottom w:val="0"/>
          <w:divBdr>
            <w:top w:val="none" w:sz="0" w:space="0" w:color="auto"/>
            <w:left w:val="none" w:sz="0" w:space="0" w:color="auto"/>
            <w:bottom w:val="none" w:sz="0" w:space="0" w:color="auto"/>
            <w:right w:val="none" w:sz="0" w:space="0" w:color="auto"/>
          </w:divBdr>
        </w:div>
        <w:div w:id="2099208941">
          <w:marLeft w:val="0"/>
          <w:marRight w:val="0"/>
          <w:marTop w:val="0"/>
          <w:marBottom w:val="0"/>
          <w:divBdr>
            <w:top w:val="none" w:sz="0" w:space="0" w:color="auto"/>
            <w:left w:val="none" w:sz="0" w:space="0" w:color="auto"/>
            <w:bottom w:val="none" w:sz="0" w:space="0" w:color="auto"/>
            <w:right w:val="none" w:sz="0" w:space="0" w:color="auto"/>
          </w:divBdr>
        </w:div>
        <w:div w:id="1174105577">
          <w:marLeft w:val="0"/>
          <w:marRight w:val="0"/>
          <w:marTop w:val="0"/>
          <w:marBottom w:val="0"/>
          <w:divBdr>
            <w:top w:val="none" w:sz="0" w:space="0" w:color="auto"/>
            <w:left w:val="none" w:sz="0" w:space="0" w:color="auto"/>
            <w:bottom w:val="none" w:sz="0" w:space="0" w:color="auto"/>
            <w:right w:val="none" w:sz="0" w:space="0" w:color="auto"/>
          </w:divBdr>
        </w:div>
        <w:div w:id="880560466">
          <w:marLeft w:val="0"/>
          <w:marRight w:val="0"/>
          <w:marTop w:val="0"/>
          <w:marBottom w:val="0"/>
          <w:divBdr>
            <w:top w:val="none" w:sz="0" w:space="0" w:color="auto"/>
            <w:left w:val="none" w:sz="0" w:space="0" w:color="auto"/>
            <w:bottom w:val="none" w:sz="0" w:space="0" w:color="auto"/>
            <w:right w:val="none" w:sz="0" w:space="0" w:color="auto"/>
          </w:divBdr>
        </w:div>
        <w:div w:id="1689940326">
          <w:marLeft w:val="0"/>
          <w:marRight w:val="0"/>
          <w:marTop w:val="0"/>
          <w:marBottom w:val="0"/>
          <w:divBdr>
            <w:top w:val="none" w:sz="0" w:space="0" w:color="auto"/>
            <w:left w:val="none" w:sz="0" w:space="0" w:color="auto"/>
            <w:bottom w:val="none" w:sz="0" w:space="0" w:color="auto"/>
            <w:right w:val="none" w:sz="0" w:space="0" w:color="auto"/>
          </w:divBdr>
        </w:div>
        <w:div w:id="233467857">
          <w:marLeft w:val="0"/>
          <w:marRight w:val="0"/>
          <w:marTop w:val="0"/>
          <w:marBottom w:val="0"/>
          <w:divBdr>
            <w:top w:val="none" w:sz="0" w:space="0" w:color="auto"/>
            <w:left w:val="none" w:sz="0" w:space="0" w:color="auto"/>
            <w:bottom w:val="none" w:sz="0" w:space="0" w:color="auto"/>
            <w:right w:val="none" w:sz="0" w:space="0" w:color="auto"/>
          </w:divBdr>
        </w:div>
        <w:div w:id="1098407919">
          <w:marLeft w:val="0"/>
          <w:marRight w:val="0"/>
          <w:marTop w:val="0"/>
          <w:marBottom w:val="0"/>
          <w:divBdr>
            <w:top w:val="none" w:sz="0" w:space="0" w:color="auto"/>
            <w:left w:val="none" w:sz="0" w:space="0" w:color="auto"/>
            <w:bottom w:val="none" w:sz="0" w:space="0" w:color="auto"/>
            <w:right w:val="none" w:sz="0" w:space="0" w:color="auto"/>
          </w:divBdr>
        </w:div>
        <w:div w:id="1805847218">
          <w:marLeft w:val="0"/>
          <w:marRight w:val="0"/>
          <w:marTop w:val="0"/>
          <w:marBottom w:val="0"/>
          <w:divBdr>
            <w:top w:val="none" w:sz="0" w:space="0" w:color="auto"/>
            <w:left w:val="none" w:sz="0" w:space="0" w:color="auto"/>
            <w:bottom w:val="none" w:sz="0" w:space="0" w:color="auto"/>
            <w:right w:val="none" w:sz="0" w:space="0" w:color="auto"/>
          </w:divBdr>
        </w:div>
        <w:div w:id="1769691336">
          <w:marLeft w:val="0"/>
          <w:marRight w:val="0"/>
          <w:marTop w:val="0"/>
          <w:marBottom w:val="0"/>
          <w:divBdr>
            <w:top w:val="none" w:sz="0" w:space="0" w:color="auto"/>
            <w:left w:val="none" w:sz="0" w:space="0" w:color="auto"/>
            <w:bottom w:val="none" w:sz="0" w:space="0" w:color="auto"/>
            <w:right w:val="none" w:sz="0" w:space="0" w:color="auto"/>
          </w:divBdr>
        </w:div>
        <w:div w:id="216280626">
          <w:marLeft w:val="0"/>
          <w:marRight w:val="0"/>
          <w:marTop w:val="0"/>
          <w:marBottom w:val="0"/>
          <w:divBdr>
            <w:top w:val="none" w:sz="0" w:space="0" w:color="auto"/>
            <w:left w:val="none" w:sz="0" w:space="0" w:color="auto"/>
            <w:bottom w:val="none" w:sz="0" w:space="0" w:color="auto"/>
            <w:right w:val="none" w:sz="0" w:space="0" w:color="auto"/>
          </w:divBdr>
        </w:div>
        <w:div w:id="1060060843">
          <w:marLeft w:val="0"/>
          <w:marRight w:val="0"/>
          <w:marTop w:val="0"/>
          <w:marBottom w:val="0"/>
          <w:divBdr>
            <w:top w:val="none" w:sz="0" w:space="0" w:color="auto"/>
            <w:left w:val="none" w:sz="0" w:space="0" w:color="auto"/>
            <w:bottom w:val="none" w:sz="0" w:space="0" w:color="auto"/>
            <w:right w:val="none" w:sz="0" w:space="0" w:color="auto"/>
          </w:divBdr>
        </w:div>
        <w:div w:id="1053894594">
          <w:marLeft w:val="0"/>
          <w:marRight w:val="0"/>
          <w:marTop w:val="0"/>
          <w:marBottom w:val="0"/>
          <w:divBdr>
            <w:top w:val="none" w:sz="0" w:space="0" w:color="auto"/>
            <w:left w:val="none" w:sz="0" w:space="0" w:color="auto"/>
            <w:bottom w:val="none" w:sz="0" w:space="0" w:color="auto"/>
            <w:right w:val="none" w:sz="0" w:space="0" w:color="auto"/>
          </w:divBdr>
        </w:div>
        <w:div w:id="1493763431">
          <w:marLeft w:val="0"/>
          <w:marRight w:val="0"/>
          <w:marTop w:val="0"/>
          <w:marBottom w:val="0"/>
          <w:divBdr>
            <w:top w:val="none" w:sz="0" w:space="0" w:color="auto"/>
            <w:left w:val="none" w:sz="0" w:space="0" w:color="auto"/>
            <w:bottom w:val="none" w:sz="0" w:space="0" w:color="auto"/>
            <w:right w:val="none" w:sz="0" w:space="0" w:color="auto"/>
          </w:divBdr>
        </w:div>
        <w:div w:id="1071462152">
          <w:marLeft w:val="0"/>
          <w:marRight w:val="0"/>
          <w:marTop w:val="0"/>
          <w:marBottom w:val="0"/>
          <w:divBdr>
            <w:top w:val="none" w:sz="0" w:space="0" w:color="auto"/>
            <w:left w:val="none" w:sz="0" w:space="0" w:color="auto"/>
            <w:bottom w:val="none" w:sz="0" w:space="0" w:color="auto"/>
            <w:right w:val="none" w:sz="0" w:space="0" w:color="auto"/>
          </w:divBdr>
        </w:div>
        <w:div w:id="915555529">
          <w:marLeft w:val="0"/>
          <w:marRight w:val="0"/>
          <w:marTop w:val="0"/>
          <w:marBottom w:val="0"/>
          <w:divBdr>
            <w:top w:val="none" w:sz="0" w:space="0" w:color="auto"/>
            <w:left w:val="none" w:sz="0" w:space="0" w:color="auto"/>
            <w:bottom w:val="none" w:sz="0" w:space="0" w:color="auto"/>
            <w:right w:val="none" w:sz="0" w:space="0" w:color="auto"/>
          </w:divBdr>
        </w:div>
        <w:div w:id="1976594018">
          <w:marLeft w:val="0"/>
          <w:marRight w:val="0"/>
          <w:marTop w:val="0"/>
          <w:marBottom w:val="0"/>
          <w:divBdr>
            <w:top w:val="none" w:sz="0" w:space="0" w:color="auto"/>
            <w:left w:val="none" w:sz="0" w:space="0" w:color="auto"/>
            <w:bottom w:val="none" w:sz="0" w:space="0" w:color="auto"/>
            <w:right w:val="none" w:sz="0" w:space="0" w:color="auto"/>
          </w:divBdr>
        </w:div>
        <w:div w:id="1049839675">
          <w:marLeft w:val="0"/>
          <w:marRight w:val="0"/>
          <w:marTop w:val="0"/>
          <w:marBottom w:val="0"/>
          <w:divBdr>
            <w:top w:val="none" w:sz="0" w:space="0" w:color="auto"/>
            <w:left w:val="none" w:sz="0" w:space="0" w:color="auto"/>
            <w:bottom w:val="none" w:sz="0" w:space="0" w:color="auto"/>
            <w:right w:val="none" w:sz="0" w:space="0" w:color="auto"/>
          </w:divBdr>
        </w:div>
        <w:div w:id="388308952">
          <w:marLeft w:val="0"/>
          <w:marRight w:val="0"/>
          <w:marTop w:val="0"/>
          <w:marBottom w:val="0"/>
          <w:divBdr>
            <w:top w:val="none" w:sz="0" w:space="0" w:color="auto"/>
            <w:left w:val="none" w:sz="0" w:space="0" w:color="auto"/>
            <w:bottom w:val="none" w:sz="0" w:space="0" w:color="auto"/>
            <w:right w:val="none" w:sz="0" w:space="0" w:color="auto"/>
          </w:divBdr>
        </w:div>
        <w:div w:id="756830045">
          <w:marLeft w:val="0"/>
          <w:marRight w:val="0"/>
          <w:marTop w:val="0"/>
          <w:marBottom w:val="0"/>
          <w:divBdr>
            <w:top w:val="none" w:sz="0" w:space="0" w:color="auto"/>
            <w:left w:val="none" w:sz="0" w:space="0" w:color="auto"/>
            <w:bottom w:val="none" w:sz="0" w:space="0" w:color="auto"/>
            <w:right w:val="none" w:sz="0" w:space="0" w:color="auto"/>
          </w:divBdr>
        </w:div>
        <w:div w:id="1158686995">
          <w:marLeft w:val="0"/>
          <w:marRight w:val="0"/>
          <w:marTop w:val="0"/>
          <w:marBottom w:val="0"/>
          <w:divBdr>
            <w:top w:val="none" w:sz="0" w:space="0" w:color="auto"/>
            <w:left w:val="none" w:sz="0" w:space="0" w:color="auto"/>
            <w:bottom w:val="none" w:sz="0" w:space="0" w:color="auto"/>
            <w:right w:val="none" w:sz="0" w:space="0" w:color="auto"/>
          </w:divBdr>
        </w:div>
        <w:div w:id="1236428543">
          <w:marLeft w:val="0"/>
          <w:marRight w:val="0"/>
          <w:marTop w:val="0"/>
          <w:marBottom w:val="0"/>
          <w:divBdr>
            <w:top w:val="none" w:sz="0" w:space="0" w:color="auto"/>
            <w:left w:val="none" w:sz="0" w:space="0" w:color="auto"/>
            <w:bottom w:val="none" w:sz="0" w:space="0" w:color="auto"/>
            <w:right w:val="none" w:sz="0" w:space="0" w:color="auto"/>
          </w:divBdr>
        </w:div>
        <w:div w:id="1633094049">
          <w:marLeft w:val="0"/>
          <w:marRight w:val="0"/>
          <w:marTop w:val="0"/>
          <w:marBottom w:val="0"/>
          <w:divBdr>
            <w:top w:val="none" w:sz="0" w:space="0" w:color="auto"/>
            <w:left w:val="none" w:sz="0" w:space="0" w:color="auto"/>
            <w:bottom w:val="none" w:sz="0" w:space="0" w:color="auto"/>
            <w:right w:val="none" w:sz="0" w:space="0" w:color="auto"/>
          </w:divBdr>
        </w:div>
        <w:div w:id="1733965801">
          <w:marLeft w:val="0"/>
          <w:marRight w:val="0"/>
          <w:marTop w:val="0"/>
          <w:marBottom w:val="0"/>
          <w:divBdr>
            <w:top w:val="none" w:sz="0" w:space="0" w:color="auto"/>
            <w:left w:val="none" w:sz="0" w:space="0" w:color="auto"/>
            <w:bottom w:val="none" w:sz="0" w:space="0" w:color="auto"/>
            <w:right w:val="none" w:sz="0" w:space="0" w:color="auto"/>
          </w:divBdr>
        </w:div>
        <w:div w:id="2039237055">
          <w:marLeft w:val="0"/>
          <w:marRight w:val="0"/>
          <w:marTop w:val="0"/>
          <w:marBottom w:val="0"/>
          <w:divBdr>
            <w:top w:val="none" w:sz="0" w:space="0" w:color="auto"/>
            <w:left w:val="none" w:sz="0" w:space="0" w:color="auto"/>
            <w:bottom w:val="none" w:sz="0" w:space="0" w:color="auto"/>
            <w:right w:val="none" w:sz="0" w:space="0" w:color="auto"/>
          </w:divBdr>
        </w:div>
        <w:div w:id="1374646934">
          <w:marLeft w:val="0"/>
          <w:marRight w:val="0"/>
          <w:marTop w:val="0"/>
          <w:marBottom w:val="0"/>
          <w:divBdr>
            <w:top w:val="none" w:sz="0" w:space="0" w:color="auto"/>
            <w:left w:val="none" w:sz="0" w:space="0" w:color="auto"/>
            <w:bottom w:val="none" w:sz="0" w:space="0" w:color="auto"/>
            <w:right w:val="none" w:sz="0" w:space="0" w:color="auto"/>
          </w:divBdr>
        </w:div>
        <w:div w:id="390228513">
          <w:marLeft w:val="0"/>
          <w:marRight w:val="0"/>
          <w:marTop w:val="0"/>
          <w:marBottom w:val="0"/>
          <w:divBdr>
            <w:top w:val="none" w:sz="0" w:space="0" w:color="auto"/>
            <w:left w:val="none" w:sz="0" w:space="0" w:color="auto"/>
            <w:bottom w:val="none" w:sz="0" w:space="0" w:color="auto"/>
            <w:right w:val="none" w:sz="0" w:space="0" w:color="auto"/>
          </w:divBdr>
        </w:div>
        <w:div w:id="169412345">
          <w:marLeft w:val="0"/>
          <w:marRight w:val="0"/>
          <w:marTop w:val="0"/>
          <w:marBottom w:val="0"/>
          <w:divBdr>
            <w:top w:val="none" w:sz="0" w:space="0" w:color="auto"/>
            <w:left w:val="none" w:sz="0" w:space="0" w:color="auto"/>
            <w:bottom w:val="none" w:sz="0" w:space="0" w:color="auto"/>
            <w:right w:val="none" w:sz="0" w:space="0" w:color="auto"/>
          </w:divBdr>
        </w:div>
        <w:div w:id="2018264437">
          <w:marLeft w:val="0"/>
          <w:marRight w:val="0"/>
          <w:marTop w:val="0"/>
          <w:marBottom w:val="0"/>
          <w:divBdr>
            <w:top w:val="none" w:sz="0" w:space="0" w:color="auto"/>
            <w:left w:val="none" w:sz="0" w:space="0" w:color="auto"/>
            <w:bottom w:val="none" w:sz="0" w:space="0" w:color="auto"/>
            <w:right w:val="none" w:sz="0" w:space="0" w:color="auto"/>
          </w:divBdr>
        </w:div>
        <w:div w:id="1071273612">
          <w:marLeft w:val="0"/>
          <w:marRight w:val="0"/>
          <w:marTop w:val="0"/>
          <w:marBottom w:val="0"/>
          <w:divBdr>
            <w:top w:val="none" w:sz="0" w:space="0" w:color="auto"/>
            <w:left w:val="none" w:sz="0" w:space="0" w:color="auto"/>
            <w:bottom w:val="none" w:sz="0" w:space="0" w:color="auto"/>
            <w:right w:val="none" w:sz="0" w:space="0" w:color="auto"/>
          </w:divBdr>
        </w:div>
        <w:div w:id="1405371106">
          <w:marLeft w:val="0"/>
          <w:marRight w:val="0"/>
          <w:marTop w:val="0"/>
          <w:marBottom w:val="0"/>
          <w:divBdr>
            <w:top w:val="none" w:sz="0" w:space="0" w:color="auto"/>
            <w:left w:val="none" w:sz="0" w:space="0" w:color="auto"/>
            <w:bottom w:val="none" w:sz="0" w:space="0" w:color="auto"/>
            <w:right w:val="none" w:sz="0" w:space="0" w:color="auto"/>
          </w:divBdr>
        </w:div>
        <w:div w:id="1746340556">
          <w:marLeft w:val="0"/>
          <w:marRight w:val="0"/>
          <w:marTop w:val="0"/>
          <w:marBottom w:val="0"/>
          <w:divBdr>
            <w:top w:val="none" w:sz="0" w:space="0" w:color="auto"/>
            <w:left w:val="none" w:sz="0" w:space="0" w:color="auto"/>
            <w:bottom w:val="none" w:sz="0" w:space="0" w:color="auto"/>
            <w:right w:val="none" w:sz="0" w:space="0" w:color="auto"/>
          </w:divBdr>
        </w:div>
      </w:divsChild>
    </w:div>
    <w:div w:id="999653211">
      <w:bodyDiv w:val="1"/>
      <w:marLeft w:val="0"/>
      <w:marRight w:val="0"/>
      <w:marTop w:val="0"/>
      <w:marBottom w:val="0"/>
      <w:divBdr>
        <w:top w:val="none" w:sz="0" w:space="0" w:color="auto"/>
        <w:left w:val="none" w:sz="0" w:space="0" w:color="auto"/>
        <w:bottom w:val="none" w:sz="0" w:space="0" w:color="auto"/>
        <w:right w:val="none" w:sz="0" w:space="0" w:color="auto"/>
      </w:divBdr>
      <w:divsChild>
        <w:div w:id="340664565">
          <w:marLeft w:val="0"/>
          <w:marRight w:val="0"/>
          <w:marTop w:val="0"/>
          <w:marBottom w:val="0"/>
          <w:divBdr>
            <w:top w:val="none" w:sz="0" w:space="0" w:color="auto"/>
            <w:left w:val="none" w:sz="0" w:space="0" w:color="auto"/>
            <w:bottom w:val="none" w:sz="0" w:space="0" w:color="auto"/>
            <w:right w:val="none" w:sz="0" w:space="0" w:color="auto"/>
          </w:divBdr>
        </w:div>
        <w:div w:id="674575522">
          <w:marLeft w:val="0"/>
          <w:marRight w:val="0"/>
          <w:marTop w:val="0"/>
          <w:marBottom w:val="0"/>
          <w:divBdr>
            <w:top w:val="none" w:sz="0" w:space="0" w:color="auto"/>
            <w:left w:val="none" w:sz="0" w:space="0" w:color="auto"/>
            <w:bottom w:val="none" w:sz="0" w:space="0" w:color="auto"/>
            <w:right w:val="none" w:sz="0" w:space="0" w:color="auto"/>
          </w:divBdr>
        </w:div>
        <w:div w:id="1515874192">
          <w:marLeft w:val="0"/>
          <w:marRight w:val="0"/>
          <w:marTop w:val="0"/>
          <w:marBottom w:val="0"/>
          <w:divBdr>
            <w:top w:val="none" w:sz="0" w:space="0" w:color="auto"/>
            <w:left w:val="none" w:sz="0" w:space="0" w:color="auto"/>
            <w:bottom w:val="none" w:sz="0" w:space="0" w:color="auto"/>
            <w:right w:val="none" w:sz="0" w:space="0" w:color="auto"/>
          </w:divBdr>
        </w:div>
      </w:divsChild>
    </w:div>
    <w:div w:id="1052461468">
      <w:bodyDiv w:val="1"/>
      <w:marLeft w:val="0"/>
      <w:marRight w:val="0"/>
      <w:marTop w:val="0"/>
      <w:marBottom w:val="0"/>
      <w:divBdr>
        <w:top w:val="none" w:sz="0" w:space="0" w:color="auto"/>
        <w:left w:val="none" w:sz="0" w:space="0" w:color="auto"/>
        <w:bottom w:val="none" w:sz="0" w:space="0" w:color="auto"/>
        <w:right w:val="none" w:sz="0" w:space="0" w:color="auto"/>
      </w:divBdr>
    </w:div>
    <w:div w:id="1197347640">
      <w:bodyDiv w:val="1"/>
      <w:marLeft w:val="0"/>
      <w:marRight w:val="0"/>
      <w:marTop w:val="0"/>
      <w:marBottom w:val="0"/>
      <w:divBdr>
        <w:top w:val="none" w:sz="0" w:space="0" w:color="auto"/>
        <w:left w:val="none" w:sz="0" w:space="0" w:color="auto"/>
        <w:bottom w:val="none" w:sz="0" w:space="0" w:color="auto"/>
        <w:right w:val="none" w:sz="0" w:space="0" w:color="auto"/>
      </w:divBdr>
      <w:divsChild>
        <w:div w:id="1312708266">
          <w:marLeft w:val="0"/>
          <w:marRight w:val="0"/>
          <w:marTop w:val="0"/>
          <w:marBottom w:val="0"/>
          <w:divBdr>
            <w:top w:val="none" w:sz="0" w:space="0" w:color="auto"/>
            <w:left w:val="none" w:sz="0" w:space="0" w:color="auto"/>
            <w:bottom w:val="none" w:sz="0" w:space="0" w:color="auto"/>
            <w:right w:val="none" w:sz="0" w:space="0" w:color="auto"/>
          </w:divBdr>
        </w:div>
      </w:divsChild>
    </w:div>
    <w:div w:id="1216115762">
      <w:bodyDiv w:val="1"/>
      <w:marLeft w:val="0"/>
      <w:marRight w:val="0"/>
      <w:marTop w:val="0"/>
      <w:marBottom w:val="0"/>
      <w:divBdr>
        <w:top w:val="none" w:sz="0" w:space="0" w:color="auto"/>
        <w:left w:val="none" w:sz="0" w:space="0" w:color="auto"/>
        <w:bottom w:val="none" w:sz="0" w:space="0" w:color="auto"/>
        <w:right w:val="none" w:sz="0" w:space="0" w:color="auto"/>
      </w:divBdr>
      <w:divsChild>
        <w:div w:id="466122491">
          <w:marLeft w:val="0"/>
          <w:marRight w:val="0"/>
          <w:marTop w:val="0"/>
          <w:marBottom w:val="0"/>
          <w:divBdr>
            <w:top w:val="none" w:sz="0" w:space="0" w:color="auto"/>
            <w:left w:val="none" w:sz="0" w:space="0" w:color="auto"/>
            <w:bottom w:val="none" w:sz="0" w:space="0" w:color="auto"/>
            <w:right w:val="none" w:sz="0" w:space="0" w:color="auto"/>
          </w:divBdr>
        </w:div>
        <w:div w:id="536313576">
          <w:marLeft w:val="0"/>
          <w:marRight w:val="0"/>
          <w:marTop w:val="0"/>
          <w:marBottom w:val="0"/>
          <w:divBdr>
            <w:top w:val="none" w:sz="0" w:space="0" w:color="auto"/>
            <w:left w:val="none" w:sz="0" w:space="0" w:color="auto"/>
            <w:bottom w:val="none" w:sz="0" w:space="0" w:color="auto"/>
            <w:right w:val="none" w:sz="0" w:space="0" w:color="auto"/>
          </w:divBdr>
        </w:div>
        <w:div w:id="1252930362">
          <w:marLeft w:val="0"/>
          <w:marRight w:val="0"/>
          <w:marTop w:val="0"/>
          <w:marBottom w:val="0"/>
          <w:divBdr>
            <w:top w:val="none" w:sz="0" w:space="0" w:color="auto"/>
            <w:left w:val="none" w:sz="0" w:space="0" w:color="auto"/>
            <w:bottom w:val="none" w:sz="0" w:space="0" w:color="auto"/>
            <w:right w:val="none" w:sz="0" w:space="0" w:color="auto"/>
          </w:divBdr>
        </w:div>
        <w:div w:id="1023939245">
          <w:marLeft w:val="0"/>
          <w:marRight w:val="0"/>
          <w:marTop w:val="0"/>
          <w:marBottom w:val="0"/>
          <w:divBdr>
            <w:top w:val="none" w:sz="0" w:space="0" w:color="auto"/>
            <w:left w:val="none" w:sz="0" w:space="0" w:color="auto"/>
            <w:bottom w:val="none" w:sz="0" w:space="0" w:color="auto"/>
            <w:right w:val="none" w:sz="0" w:space="0" w:color="auto"/>
          </w:divBdr>
        </w:div>
        <w:div w:id="296641361">
          <w:marLeft w:val="0"/>
          <w:marRight w:val="0"/>
          <w:marTop w:val="0"/>
          <w:marBottom w:val="0"/>
          <w:divBdr>
            <w:top w:val="none" w:sz="0" w:space="0" w:color="auto"/>
            <w:left w:val="none" w:sz="0" w:space="0" w:color="auto"/>
            <w:bottom w:val="none" w:sz="0" w:space="0" w:color="auto"/>
            <w:right w:val="none" w:sz="0" w:space="0" w:color="auto"/>
          </w:divBdr>
        </w:div>
        <w:div w:id="756367254">
          <w:marLeft w:val="0"/>
          <w:marRight w:val="0"/>
          <w:marTop w:val="0"/>
          <w:marBottom w:val="0"/>
          <w:divBdr>
            <w:top w:val="none" w:sz="0" w:space="0" w:color="auto"/>
            <w:left w:val="none" w:sz="0" w:space="0" w:color="auto"/>
            <w:bottom w:val="none" w:sz="0" w:space="0" w:color="auto"/>
            <w:right w:val="none" w:sz="0" w:space="0" w:color="auto"/>
          </w:divBdr>
        </w:div>
        <w:div w:id="1826899972">
          <w:marLeft w:val="0"/>
          <w:marRight w:val="0"/>
          <w:marTop w:val="0"/>
          <w:marBottom w:val="0"/>
          <w:divBdr>
            <w:top w:val="none" w:sz="0" w:space="0" w:color="auto"/>
            <w:left w:val="none" w:sz="0" w:space="0" w:color="auto"/>
            <w:bottom w:val="none" w:sz="0" w:space="0" w:color="auto"/>
            <w:right w:val="none" w:sz="0" w:space="0" w:color="auto"/>
          </w:divBdr>
        </w:div>
        <w:div w:id="1858495763">
          <w:marLeft w:val="0"/>
          <w:marRight w:val="0"/>
          <w:marTop w:val="0"/>
          <w:marBottom w:val="0"/>
          <w:divBdr>
            <w:top w:val="none" w:sz="0" w:space="0" w:color="auto"/>
            <w:left w:val="none" w:sz="0" w:space="0" w:color="auto"/>
            <w:bottom w:val="none" w:sz="0" w:space="0" w:color="auto"/>
            <w:right w:val="none" w:sz="0" w:space="0" w:color="auto"/>
          </w:divBdr>
        </w:div>
        <w:div w:id="831605554">
          <w:marLeft w:val="0"/>
          <w:marRight w:val="0"/>
          <w:marTop w:val="0"/>
          <w:marBottom w:val="0"/>
          <w:divBdr>
            <w:top w:val="none" w:sz="0" w:space="0" w:color="auto"/>
            <w:left w:val="none" w:sz="0" w:space="0" w:color="auto"/>
            <w:bottom w:val="none" w:sz="0" w:space="0" w:color="auto"/>
            <w:right w:val="none" w:sz="0" w:space="0" w:color="auto"/>
          </w:divBdr>
        </w:div>
        <w:div w:id="1514225116">
          <w:marLeft w:val="0"/>
          <w:marRight w:val="0"/>
          <w:marTop w:val="0"/>
          <w:marBottom w:val="0"/>
          <w:divBdr>
            <w:top w:val="none" w:sz="0" w:space="0" w:color="auto"/>
            <w:left w:val="none" w:sz="0" w:space="0" w:color="auto"/>
            <w:bottom w:val="none" w:sz="0" w:space="0" w:color="auto"/>
            <w:right w:val="none" w:sz="0" w:space="0" w:color="auto"/>
          </w:divBdr>
        </w:div>
      </w:divsChild>
    </w:div>
    <w:div w:id="1252936201">
      <w:bodyDiv w:val="1"/>
      <w:marLeft w:val="0"/>
      <w:marRight w:val="0"/>
      <w:marTop w:val="0"/>
      <w:marBottom w:val="0"/>
      <w:divBdr>
        <w:top w:val="none" w:sz="0" w:space="0" w:color="auto"/>
        <w:left w:val="none" w:sz="0" w:space="0" w:color="auto"/>
        <w:bottom w:val="none" w:sz="0" w:space="0" w:color="auto"/>
        <w:right w:val="none" w:sz="0" w:space="0" w:color="auto"/>
      </w:divBdr>
    </w:div>
    <w:div w:id="1272014824">
      <w:bodyDiv w:val="1"/>
      <w:marLeft w:val="0"/>
      <w:marRight w:val="0"/>
      <w:marTop w:val="0"/>
      <w:marBottom w:val="0"/>
      <w:divBdr>
        <w:top w:val="none" w:sz="0" w:space="0" w:color="auto"/>
        <w:left w:val="none" w:sz="0" w:space="0" w:color="auto"/>
        <w:bottom w:val="none" w:sz="0" w:space="0" w:color="auto"/>
        <w:right w:val="none" w:sz="0" w:space="0" w:color="auto"/>
      </w:divBdr>
    </w:div>
    <w:div w:id="1335575421">
      <w:bodyDiv w:val="1"/>
      <w:marLeft w:val="0"/>
      <w:marRight w:val="0"/>
      <w:marTop w:val="0"/>
      <w:marBottom w:val="0"/>
      <w:divBdr>
        <w:top w:val="none" w:sz="0" w:space="0" w:color="auto"/>
        <w:left w:val="none" w:sz="0" w:space="0" w:color="auto"/>
        <w:bottom w:val="none" w:sz="0" w:space="0" w:color="auto"/>
        <w:right w:val="none" w:sz="0" w:space="0" w:color="auto"/>
      </w:divBdr>
      <w:divsChild>
        <w:div w:id="1909681566">
          <w:marLeft w:val="0"/>
          <w:marRight w:val="0"/>
          <w:marTop w:val="0"/>
          <w:marBottom w:val="0"/>
          <w:divBdr>
            <w:top w:val="none" w:sz="0" w:space="0" w:color="auto"/>
            <w:left w:val="none" w:sz="0" w:space="0" w:color="auto"/>
            <w:bottom w:val="none" w:sz="0" w:space="0" w:color="auto"/>
            <w:right w:val="none" w:sz="0" w:space="0" w:color="auto"/>
          </w:divBdr>
        </w:div>
        <w:div w:id="1691565196">
          <w:marLeft w:val="0"/>
          <w:marRight w:val="0"/>
          <w:marTop w:val="0"/>
          <w:marBottom w:val="0"/>
          <w:divBdr>
            <w:top w:val="none" w:sz="0" w:space="0" w:color="auto"/>
            <w:left w:val="none" w:sz="0" w:space="0" w:color="auto"/>
            <w:bottom w:val="none" w:sz="0" w:space="0" w:color="auto"/>
            <w:right w:val="none" w:sz="0" w:space="0" w:color="auto"/>
          </w:divBdr>
        </w:div>
        <w:div w:id="1800686630">
          <w:marLeft w:val="0"/>
          <w:marRight w:val="0"/>
          <w:marTop w:val="0"/>
          <w:marBottom w:val="0"/>
          <w:divBdr>
            <w:top w:val="none" w:sz="0" w:space="0" w:color="auto"/>
            <w:left w:val="none" w:sz="0" w:space="0" w:color="auto"/>
            <w:bottom w:val="none" w:sz="0" w:space="0" w:color="auto"/>
            <w:right w:val="none" w:sz="0" w:space="0" w:color="auto"/>
          </w:divBdr>
        </w:div>
        <w:div w:id="1554846403">
          <w:marLeft w:val="0"/>
          <w:marRight w:val="0"/>
          <w:marTop w:val="0"/>
          <w:marBottom w:val="0"/>
          <w:divBdr>
            <w:top w:val="none" w:sz="0" w:space="0" w:color="auto"/>
            <w:left w:val="none" w:sz="0" w:space="0" w:color="auto"/>
            <w:bottom w:val="none" w:sz="0" w:space="0" w:color="auto"/>
            <w:right w:val="none" w:sz="0" w:space="0" w:color="auto"/>
          </w:divBdr>
        </w:div>
      </w:divsChild>
    </w:div>
    <w:div w:id="1335960623">
      <w:bodyDiv w:val="1"/>
      <w:marLeft w:val="0"/>
      <w:marRight w:val="0"/>
      <w:marTop w:val="0"/>
      <w:marBottom w:val="0"/>
      <w:divBdr>
        <w:top w:val="none" w:sz="0" w:space="0" w:color="auto"/>
        <w:left w:val="none" w:sz="0" w:space="0" w:color="auto"/>
        <w:bottom w:val="none" w:sz="0" w:space="0" w:color="auto"/>
        <w:right w:val="none" w:sz="0" w:space="0" w:color="auto"/>
      </w:divBdr>
    </w:div>
    <w:div w:id="1341008062">
      <w:bodyDiv w:val="1"/>
      <w:marLeft w:val="0"/>
      <w:marRight w:val="0"/>
      <w:marTop w:val="0"/>
      <w:marBottom w:val="0"/>
      <w:divBdr>
        <w:top w:val="none" w:sz="0" w:space="0" w:color="auto"/>
        <w:left w:val="none" w:sz="0" w:space="0" w:color="auto"/>
        <w:bottom w:val="none" w:sz="0" w:space="0" w:color="auto"/>
        <w:right w:val="none" w:sz="0" w:space="0" w:color="auto"/>
      </w:divBdr>
    </w:div>
    <w:div w:id="1394112189">
      <w:bodyDiv w:val="1"/>
      <w:marLeft w:val="0"/>
      <w:marRight w:val="0"/>
      <w:marTop w:val="0"/>
      <w:marBottom w:val="0"/>
      <w:divBdr>
        <w:top w:val="none" w:sz="0" w:space="0" w:color="auto"/>
        <w:left w:val="none" w:sz="0" w:space="0" w:color="auto"/>
        <w:bottom w:val="none" w:sz="0" w:space="0" w:color="auto"/>
        <w:right w:val="none" w:sz="0" w:space="0" w:color="auto"/>
      </w:divBdr>
    </w:div>
    <w:div w:id="1424565266">
      <w:bodyDiv w:val="1"/>
      <w:marLeft w:val="0"/>
      <w:marRight w:val="0"/>
      <w:marTop w:val="0"/>
      <w:marBottom w:val="0"/>
      <w:divBdr>
        <w:top w:val="none" w:sz="0" w:space="0" w:color="auto"/>
        <w:left w:val="none" w:sz="0" w:space="0" w:color="auto"/>
        <w:bottom w:val="none" w:sz="0" w:space="0" w:color="auto"/>
        <w:right w:val="none" w:sz="0" w:space="0" w:color="auto"/>
      </w:divBdr>
    </w:div>
    <w:div w:id="1718359350">
      <w:bodyDiv w:val="1"/>
      <w:marLeft w:val="0"/>
      <w:marRight w:val="0"/>
      <w:marTop w:val="0"/>
      <w:marBottom w:val="0"/>
      <w:divBdr>
        <w:top w:val="none" w:sz="0" w:space="0" w:color="auto"/>
        <w:left w:val="none" w:sz="0" w:space="0" w:color="auto"/>
        <w:bottom w:val="none" w:sz="0" w:space="0" w:color="auto"/>
        <w:right w:val="none" w:sz="0" w:space="0" w:color="auto"/>
      </w:divBdr>
    </w:div>
    <w:div w:id="1859806083">
      <w:bodyDiv w:val="1"/>
      <w:marLeft w:val="0"/>
      <w:marRight w:val="0"/>
      <w:marTop w:val="0"/>
      <w:marBottom w:val="0"/>
      <w:divBdr>
        <w:top w:val="none" w:sz="0" w:space="0" w:color="auto"/>
        <w:left w:val="none" w:sz="0" w:space="0" w:color="auto"/>
        <w:bottom w:val="none" w:sz="0" w:space="0" w:color="auto"/>
        <w:right w:val="none" w:sz="0" w:space="0" w:color="auto"/>
      </w:divBdr>
      <w:divsChild>
        <w:div w:id="168105588">
          <w:marLeft w:val="0"/>
          <w:marRight w:val="0"/>
          <w:marTop w:val="0"/>
          <w:marBottom w:val="0"/>
          <w:divBdr>
            <w:top w:val="none" w:sz="0" w:space="0" w:color="auto"/>
            <w:left w:val="none" w:sz="0" w:space="0" w:color="auto"/>
            <w:bottom w:val="none" w:sz="0" w:space="0" w:color="auto"/>
            <w:right w:val="none" w:sz="0" w:space="0" w:color="auto"/>
          </w:divBdr>
        </w:div>
      </w:divsChild>
    </w:div>
    <w:div w:id="1871456092">
      <w:bodyDiv w:val="1"/>
      <w:marLeft w:val="0"/>
      <w:marRight w:val="0"/>
      <w:marTop w:val="0"/>
      <w:marBottom w:val="0"/>
      <w:divBdr>
        <w:top w:val="none" w:sz="0" w:space="0" w:color="auto"/>
        <w:left w:val="none" w:sz="0" w:space="0" w:color="auto"/>
        <w:bottom w:val="none" w:sz="0" w:space="0" w:color="auto"/>
        <w:right w:val="none" w:sz="0" w:space="0" w:color="auto"/>
      </w:divBdr>
      <w:divsChild>
        <w:div w:id="99228181">
          <w:marLeft w:val="0"/>
          <w:marRight w:val="0"/>
          <w:marTop w:val="0"/>
          <w:marBottom w:val="0"/>
          <w:divBdr>
            <w:top w:val="none" w:sz="0" w:space="0" w:color="auto"/>
            <w:left w:val="none" w:sz="0" w:space="0" w:color="auto"/>
            <w:bottom w:val="none" w:sz="0" w:space="0" w:color="auto"/>
            <w:right w:val="none" w:sz="0" w:space="0" w:color="auto"/>
          </w:divBdr>
        </w:div>
        <w:div w:id="493180927">
          <w:marLeft w:val="0"/>
          <w:marRight w:val="0"/>
          <w:marTop w:val="0"/>
          <w:marBottom w:val="0"/>
          <w:divBdr>
            <w:top w:val="none" w:sz="0" w:space="0" w:color="auto"/>
            <w:left w:val="none" w:sz="0" w:space="0" w:color="auto"/>
            <w:bottom w:val="none" w:sz="0" w:space="0" w:color="auto"/>
            <w:right w:val="none" w:sz="0" w:space="0" w:color="auto"/>
          </w:divBdr>
        </w:div>
        <w:div w:id="499085289">
          <w:marLeft w:val="0"/>
          <w:marRight w:val="0"/>
          <w:marTop w:val="0"/>
          <w:marBottom w:val="0"/>
          <w:divBdr>
            <w:top w:val="none" w:sz="0" w:space="0" w:color="auto"/>
            <w:left w:val="none" w:sz="0" w:space="0" w:color="auto"/>
            <w:bottom w:val="none" w:sz="0" w:space="0" w:color="auto"/>
            <w:right w:val="none" w:sz="0" w:space="0" w:color="auto"/>
          </w:divBdr>
        </w:div>
      </w:divsChild>
    </w:div>
    <w:div w:id="1956327538">
      <w:bodyDiv w:val="1"/>
      <w:marLeft w:val="0"/>
      <w:marRight w:val="0"/>
      <w:marTop w:val="0"/>
      <w:marBottom w:val="0"/>
      <w:divBdr>
        <w:top w:val="none" w:sz="0" w:space="0" w:color="auto"/>
        <w:left w:val="none" w:sz="0" w:space="0" w:color="auto"/>
        <w:bottom w:val="none" w:sz="0" w:space="0" w:color="auto"/>
        <w:right w:val="none" w:sz="0" w:space="0" w:color="auto"/>
      </w:divBdr>
      <w:divsChild>
        <w:div w:id="1623925442">
          <w:marLeft w:val="0"/>
          <w:marRight w:val="0"/>
          <w:marTop w:val="0"/>
          <w:marBottom w:val="0"/>
          <w:divBdr>
            <w:top w:val="none" w:sz="0" w:space="0" w:color="auto"/>
            <w:left w:val="none" w:sz="0" w:space="0" w:color="auto"/>
            <w:bottom w:val="none" w:sz="0" w:space="0" w:color="auto"/>
            <w:right w:val="none" w:sz="0" w:space="0" w:color="auto"/>
          </w:divBdr>
        </w:div>
      </w:divsChild>
    </w:div>
    <w:div w:id="1975255769">
      <w:bodyDiv w:val="1"/>
      <w:marLeft w:val="0"/>
      <w:marRight w:val="0"/>
      <w:marTop w:val="0"/>
      <w:marBottom w:val="0"/>
      <w:divBdr>
        <w:top w:val="none" w:sz="0" w:space="0" w:color="auto"/>
        <w:left w:val="none" w:sz="0" w:space="0" w:color="auto"/>
        <w:bottom w:val="none" w:sz="0" w:space="0" w:color="auto"/>
        <w:right w:val="none" w:sz="0" w:space="0" w:color="auto"/>
      </w:divBdr>
    </w:div>
    <w:div w:id="21178630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image" Target="media/image16.png" Id="rId26" /><Relationship Type="http://schemas.openxmlformats.org/officeDocument/2006/relationships/customXml" Target="../customXml/item3.xml" Id="rId3" /><Relationship Type="http://schemas.openxmlformats.org/officeDocument/2006/relationships/image" Target="media/image11.png" Id="rId21" /><Relationship Type="http://schemas.openxmlformats.org/officeDocument/2006/relationships/theme" Target="theme/theme1.xml" Id="rId34"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image" Target="media/image15.png" Id="rId25" /><Relationship Type="http://schemas.openxmlformats.org/officeDocument/2006/relationships/fontTable" Target="fontTable.xml" Id="rId33"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image" Target="media/image10.png" Id="rId20" /><Relationship Type="http://schemas.openxmlformats.org/officeDocument/2006/relationships/image" Target="media/image19.png"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image" Target="media/image14.png" Id="rId24" /><Relationship Type="http://schemas.openxmlformats.org/officeDocument/2006/relationships/footer" Target="footer1.xml" Id="rId32"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image" Target="media/image13.png" Id="rId23" /><Relationship Type="http://schemas.openxmlformats.org/officeDocument/2006/relationships/image" Target="media/image18.png" Id="rId28" /><Relationship Type="http://schemas.openxmlformats.org/officeDocument/2006/relationships/endnotes" Target="endnotes.xml" Id="rId10" /><Relationship Type="http://schemas.openxmlformats.org/officeDocument/2006/relationships/image" Target="media/image9.png" Id="rId19" /><Relationship Type="http://schemas.openxmlformats.org/officeDocument/2006/relationships/header" Target="header1.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image" Target="media/image12.png" Id="rId22" /><Relationship Type="http://schemas.openxmlformats.org/officeDocument/2006/relationships/image" Target="media/image17.png" Id="rId27" /><Relationship Type="http://schemas.openxmlformats.org/officeDocument/2006/relationships/image" Target="media/image20.png" Id="rId30" /><Relationship Type="http://schemas.openxmlformats.org/officeDocument/2006/relationships/webSettings" Target="webSettings.xml" Id="rId8" /><Relationship Type="http://schemas.openxmlformats.org/officeDocument/2006/relationships/image" Target="/media/image16.png" Id="rId1204191729" /><Relationship Type="http://schemas.openxmlformats.org/officeDocument/2006/relationships/image" Target="/media/image17.png" Id="rId12365565" /><Relationship Type="http://schemas.openxmlformats.org/officeDocument/2006/relationships/image" Target="/media/image18.png" Id="rId487612553" /></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36fdea3-2e69-4c60-8130-6a6319a71c3c">
      <Terms xmlns="http://schemas.microsoft.com/office/infopath/2007/PartnerControls"/>
    </lcf76f155ced4ddcb4097134ff3c332f>
    <TaxCatchAll xmlns="1a05cbd2-3996-442c-b34a-5028faf53e5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213DE7E0D0206447AE97E2A6C7A9B3D7" ma:contentTypeVersion="19" ma:contentTypeDescription="Crear nuevo documento." ma:contentTypeScope="" ma:versionID="a5dbe2bbe25d94838e8ab6234111374f">
  <xsd:schema xmlns:xsd="http://www.w3.org/2001/XMLSchema" xmlns:xs="http://www.w3.org/2001/XMLSchema" xmlns:p="http://schemas.microsoft.com/office/2006/metadata/properties" xmlns:ns2="136fdea3-2e69-4c60-8130-6a6319a71c3c" xmlns:ns3="1a05cbd2-3996-442c-b34a-5028faf53e55" targetNamespace="http://schemas.microsoft.com/office/2006/metadata/properties" ma:root="true" ma:fieldsID="dd46c73243dadcca21b71aaef5800722" ns2:_="" ns3:_="">
    <xsd:import namespace="136fdea3-2e69-4c60-8130-6a6319a71c3c"/>
    <xsd:import namespace="1a05cbd2-3996-442c-b34a-5028faf53e5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36fdea3-2e69-4c60-8130-6a6319a71c3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202ef2ac-9fa5-4cf2-ab23-7792f470ab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a05cbd2-3996-442c-b34a-5028faf53e55"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42545850-0c82-41f8-98cc-6c9121af0f3b}" ma:internalName="TaxCatchAll" ma:showField="CatchAllData" ma:web="1a05cbd2-3996-442c-b34a-5028faf53e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CHICAGO.XSL" StyleName="Chicago" Version="15">
  <b:Source>
    <b:Tag>COR16</b:Tag>
    <b:SourceType>Report</b:SourceType>
    <b:Guid>{FB26D0C9-91F3-436F-97C3-E8C0DE4E396D}</b:Guid>
    <b:Author>
      <b:Author>
        <b:Corporate>CEERCCO</b:Corporate>
      </b:Author>
    </b:Author>
    <b:Title>Estudios Técnicos, Sociales y Ambientales para la Identificación y Delimitación del Complejo de Páramos Cruz Verde- Sumapaz   a escala 1:25.000</b:Title>
    <b:Year>2015</b:Year>
    <b:City>Bogotà</b:City>
    <b:RefOrder>1</b:RefOrder>
  </b:Source>
  <b:Source>
    <b:Tag>IAv151</b:Tag>
    <b:SourceType>Report</b:SourceType>
    <b:Guid>{158789F2-2843-493F-B71E-8CDB188C93C7}</b:Guid>
    <b:Author>
      <b:Author>
        <b:Corporate>IAvH</b:Corporate>
      </b:Author>
    </b:Author>
    <b:Title>Recomendaciòn para la delimitiación, por parte del Ministerio de Ambiente y Desarrollo Sostenible, del compplejo de páramos Cruz Verde- Sumapaz a escala 1:25.000</b:Title>
    <b:Year>2016</b:Year>
    <b:City>Bogotá</b:City>
    <b:RefOrder>2</b:RefOrder>
  </b:Source>
  <b:Source>
    <b:Tag>CEE</b:Tag>
    <b:SourceType>Book</b:SourceType>
    <b:Guid>{6D327B54-672A-4758-9732-4685475EE1CF}</b:Guid>
    <b:Author>
      <b:Author>
        <b:Corporate>CEERCCO</b:Corporate>
      </b:Author>
    </b:Author>
    <b:Title>Estudios Tecnicos Económicos, Sociales y Ambientales Entorno Local Pàramo Cruz Verde - Sumapaz</b:Title>
    <b:City>Bogotà</b:City>
    <b:Year>2015</b:Year>
    <b:RefOrder>3</b:RefOrder>
  </b:Source>
</b:Sources>
</file>

<file path=customXml/itemProps1.xml><?xml version="1.0" encoding="utf-8"?>
<ds:datastoreItem xmlns:ds="http://schemas.openxmlformats.org/officeDocument/2006/customXml" ds:itemID="{4C82D0AF-B8EC-48B0-BE65-7EE315FB2E34}">
  <ds:schemaRefs>
    <ds:schemaRef ds:uri="http://schemas.microsoft.com/office/2006/metadata/properties"/>
    <ds:schemaRef ds:uri="http://schemas.microsoft.com/office/infopath/2007/PartnerControls"/>
    <ds:schemaRef ds:uri="136fdea3-2e69-4c60-8130-6a6319a71c3c"/>
    <ds:schemaRef ds:uri="1a05cbd2-3996-442c-b34a-5028faf53e55"/>
  </ds:schemaRefs>
</ds:datastoreItem>
</file>

<file path=customXml/itemProps2.xml><?xml version="1.0" encoding="utf-8"?>
<ds:datastoreItem xmlns:ds="http://schemas.openxmlformats.org/officeDocument/2006/customXml" ds:itemID="{FFB3C23E-E220-4DC2-A253-AADABDB2B851}">
  <ds:schemaRefs>
    <ds:schemaRef ds:uri="http://schemas.microsoft.com/sharepoint/v3/contenttype/forms"/>
  </ds:schemaRefs>
</ds:datastoreItem>
</file>

<file path=customXml/itemProps3.xml><?xml version="1.0" encoding="utf-8"?>
<ds:datastoreItem xmlns:ds="http://schemas.openxmlformats.org/officeDocument/2006/customXml" ds:itemID="{BDF76B77-2F94-451A-90C0-78CEE4D334CD}"/>
</file>

<file path=customXml/itemProps4.xml><?xml version="1.0" encoding="utf-8"?>
<ds:datastoreItem xmlns:ds="http://schemas.openxmlformats.org/officeDocument/2006/customXml" ds:itemID="{B912022E-BFDF-4663-8327-9BBBB3E9D841}">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William Camilo  Baracaldo Godoy</dc:creator>
  <keywords/>
  <dc:description/>
  <lastModifiedBy>Natalia Maria Ramirez Martinez</lastModifiedBy>
  <revision>22</revision>
  <lastPrinted>2023-05-07T19:22:00.0000000Z</lastPrinted>
  <dcterms:created xsi:type="dcterms:W3CDTF">2026-07-09T23:40:00.0000000Z</dcterms:created>
  <dcterms:modified xsi:type="dcterms:W3CDTF">2026-07-12T01:05:02.2286099Z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0x010100213DE7E0D0206447AE97E2A6C7A9B3D7</vt:lpwstr>
  </property>
  <property fmtid="{D5CDD505-2E9C-101B-9397-08002B2CF9AE}" pid="3" name="MediaServiceImageTags">
    <vt:lpwstr/>
  </property>
</Properties>
</file>